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8C" w:rsidRDefault="0084308C" w:rsidP="0084308C">
      <w:pPr>
        <w:pStyle w:val="Ttulo1"/>
        <w:ind w:firstLine="708"/>
        <w:jc w:val="both"/>
        <w:rPr>
          <w:rFonts w:asciiTheme="minorHAnsi" w:hAnsiTheme="minorHAnsi" w:cstheme="minorHAnsi"/>
          <w:bCs/>
          <w:iCs/>
          <w:color w:val="767171" w:themeColor="background2" w:themeShade="80"/>
          <w:sz w:val="26"/>
          <w:szCs w:val="26"/>
        </w:rPr>
      </w:pPr>
      <w:r w:rsidRPr="00353176">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18 dieciocho</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35317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35317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w:t>
      </w:r>
      <w:r w:rsidRPr="00353176">
        <w:rPr>
          <w:rFonts w:ascii="Calibri" w:hAnsi="Calibri" w:cs="Calibr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 . . . . . . . . . . . . . . . . . . . . . . . . . . . . . . . . . . . . . . . . . . . . . . .  </w:t>
      </w:r>
    </w:p>
    <w:p w:rsidR="0084308C" w:rsidRPr="00F72D2A" w:rsidRDefault="0084308C" w:rsidP="0084308C">
      <w:pPr>
        <w:rPr>
          <w:lang w:val="es-MX"/>
        </w:rPr>
      </w:pPr>
    </w:p>
    <w:p w:rsidR="0084308C" w:rsidRPr="00353176" w:rsidRDefault="0084308C" w:rsidP="0084308C">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V I S T O S</w:t>
      </w:r>
      <w:r w:rsidRPr="00353176">
        <w:rPr>
          <w:rFonts w:ascii="Calibri" w:hAnsi="Calibri" w:cs="Calibri"/>
          <w:bCs/>
          <w:iCs/>
          <w:color w:val="767171" w:themeColor="background2" w:themeShade="80"/>
          <w:sz w:val="26"/>
          <w:szCs w:val="26"/>
        </w:rPr>
        <w:t>, 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bookmarkStart w:id="0" w:name="_GoBack"/>
      <w:r w:rsidRPr="003A7299">
        <w:rPr>
          <w:rFonts w:ascii="Calibri" w:hAnsi="Calibri" w:cs="Calibri"/>
          <w:b/>
          <w:color w:val="767171" w:themeColor="background2" w:themeShade="80"/>
          <w:sz w:val="26"/>
          <w:szCs w:val="26"/>
        </w:rPr>
        <w:t>1101</w:t>
      </w:r>
      <w:r w:rsidRPr="0035317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353176">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7</w:t>
      </w:r>
      <w:r w:rsidRPr="00353176">
        <w:rPr>
          <w:rFonts w:ascii="Calibri" w:hAnsi="Calibri" w:cs="Calibri"/>
          <w:b/>
          <w:color w:val="767171" w:themeColor="background2" w:themeShade="80"/>
          <w:sz w:val="26"/>
          <w:szCs w:val="26"/>
        </w:rPr>
        <w:t>-JN</w:t>
      </w:r>
      <w:bookmarkEnd w:id="0"/>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 . . . . . . . . . . .</w:t>
      </w:r>
    </w:p>
    <w:p w:rsidR="0084308C" w:rsidRPr="00353176" w:rsidRDefault="0084308C" w:rsidP="0084308C">
      <w:pPr>
        <w:pStyle w:val="Textoindependiente"/>
        <w:rPr>
          <w:rFonts w:ascii="Calibri" w:hAnsi="Calibri" w:cs="Calibri"/>
          <w:color w:val="767171" w:themeColor="background2" w:themeShade="80"/>
          <w:sz w:val="26"/>
          <w:szCs w:val="26"/>
        </w:rPr>
      </w:pPr>
    </w:p>
    <w:p w:rsidR="0084308C" w:rsidRPr="00353176" w:rsidRDefault="0084308C" w:rsidP="0084308C">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R E S U L T A N D O :</w:t>
      </w:r>
    </w:p>
    <w:p w:rsidR="0084308C" w:rsidRPr="00353176" w:rsidRDefault="0084308C" w:rsidP="0084308C">
      <w:pPr>
        <w:pStyle w:val="Textoindependiente"/>
        <w:rPr>
          <w:rFonts w:ascii="Calibri" w:hAnsi="Calibri" w:cs="Calibri"/>
          <w:b/>
          <w:bCs/>
          <w:color w:val="767171" w:themeColor="background2" w:themeShade="80"/>
          <w:sz w:val="26"/>
          <w:szCs w:val="26"/>
        </w:rPr>
      </w:pPr>
    </w:p>
    <w:p w:rsidR="0084308C" w:rsidRPr="00353176" w:rsidRDefault="0084308C" w:rsidP="0084308C">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PRIMERO.- </w:t>
      </w:r>
      <w:r w:rsidRPr="00353176">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4</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cuatro </w:t>
      </w:r>
      <w:r w:rsidRPr="00353176">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octubre</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en la Oficialía Común de Partes de los Juzgados Administrativos de este Municipio, el ciudadano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por su propio derecho, promovió proceso administrativo, en el que señaló como: . . . . . . .</w:t>
      </w:r>
      <w:r>
        <w:rPr>
          <w:rFonts w:ascii="Calibri" w:hAnsi="Calibri" w:cs="Calibri"/>
          <w:color w:val="767171" w:themeColor="background2" w:themeShade="80"/>
          <w:sz w:val="26"/>
          <w:szCs w:val="26"/>
        </w:rPr>
        <w:t xml:space="preserve"> . . .</w:t>
      </w:r>
      <w:r w:rsidRPr="00353176">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 . . . </w:t>
      </w:r>
    </w:p>
    <w:p w:rsidR="0084308C" w:rsidRPr="00353176" w:rsidRDefault="0084308C" w:rsidP="0084308C">
      <w:pPr>
        <w:ind w:firstLine="708"/>
        <w:jc w:val="both"/>
        <w:rPr>
          <w:rFonts w:ascii="Calibri" w:hAnsi="Calibri" w:cs="Calibri"/>
          <w:b/>
          <w:bCs/>
          <w:color w:val="767171" w:themeColor="background2" w:themeShade="80"/>
          <w:sz w:val="26"/>
          <w:szCs w:val="26"/>
        </w:rPr>
      </w:pPr>
    </w:p>
    <w:p w:rsidR="0084308C" w:rsidRPr="00353176" w:rsidRDefault="0084308C" w:rsidP="0084308C">
      <w:pPr>
        <w:jc w:val="both"/>
        <w:rPr>
          <w:rFonts w:ascii="Calibri" w:hAnsi="Calibri" w:cs="Calibri"/>
          <w:color w:val="767171" w:themeColor="background2" w:themeShade="80"/>
          <w:sz w:val="26"/>
          <w:szCs w:val="26"/>
        </w:rPr>
      </w:pPr>
      <w:r w:rsidRPr="00353176">
        <w:rPr>
          <w:rFonts w:ascii="Calibri" w:hAnsi="Calibri" w:cs="Calibri"/>
          <w:b/>
          <w:bCs/>
          <w:color w:val="767171" w:themeColor="background2" w:themeShade="80"/>
          <w:sz w:val="26"/>
          <w:szCs w:val="26"/>
        </w:rPr>
        <w:t xml:space="preserve">            a).- Acto impugnado: </w:t>
      </w:r>
      <w:r w:rsidRPr="00353176">
        <w:rPr>
          <w:rFonts w:ascii="Calibri" w:hAnsi="Calibri" w:cs="Calibri"/>
          <w:color w:val="767171" w:themeColor="background2" w:themeShade="80"/>
          <w:sz w:val="26"/>
          <w:szCs w:val="26"/>
        </w:rPr>
        <w:t xml:space="preserve">El acta de infracción </w:t>
      </w:r>
      <w:r>
        <w:rPr>
          <w:rFonts w:ascii="Calibri" w:hAnsi="Calibri" w:cs="Calibri"/>
          <w:color w:val="767171" w:themeColor="background2" w:themeShade="80"/>
          <w:sz w:val="26"/>
          <w:szCs w:val="26"/>
        </w:rPr>
        <w:t xml:space="preserve">con </w:t>
      </w:r>
      <w:r w:rsidRPr="00353176">
        <w:rPr>
          <w:rFonts w:ascii="Calibri" w:hAnsi="Calibri" w:cs="Calibri"/>
          <w:color w:val="767171" w:themeColor="background2" w:themeShade="80"/>
          <w:sz w:val="26"/>
          <w:szCs w:val="26"/>
        </w:rPr>
        <w:t xml:space="preserve">número </w:t>
      </w:r>
      <w:r>
        <w:rPr>
          <w:rFonts w:ascii="Calibri" w:hAnsi="Calibri" w:cs="Calibri"/>
          <w:color w:val="767171" w:themeColor="background2" w:themeShade="80"/>
          <w:sz w:val="26"/>
          <w:szCs w:val="26"/>
        </w:rPr>
        <w:t>T-5705786</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T-cinco--siete-cero-cinco-siete-ocho-seis</w:t>
      </w:r>
      <w:r w:rsidRPr="00353176">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de agosto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w:t>
      </w:r>
      <w:r>
        <w:rPr>
          <w:rFonts w:ascii="Calibri" w:hAnsi="Calibri" w:cs="Calibri"/>
          <w:color w:val="767171" w:themeColor="background2" w:themeShade="80"/>
          <w:sz w:val="26"/>
          <w:szCs w:val="26"/>
        </w:rPr>
        <w:t>iete</w:t>
      </w:r>
      <w:r w:rsidRPr="00353176">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w:t>
      </w:r>
      <w:r w:rsidRPr="00353176">
        <w:rPr>
          <w:rFonts w:ascii="Calibri" w:hAnsi="Calibri"/>
          <w:color w:val="767171" w:themeColor="background2" w:themeShade="80"/>
          <w:sz w:val="26"/>
          <w:szCs w:val="26"/>
        </w:rPr>
        <w:t xml:space="preserve"> . . . . . . . . . . . . . . . . . . . . . . . . . . . . .</w:t>
      </w:r>
      <w:r>
        <w:rPr>
          <w:rFonts w:ascii="Calibri" w:hAnsi="Calibri"/>
          <w:color w:val="767171" w:themeColor="background2" w:themeShade="80"/>
          <w:sz w:val="26"/>
          <w:szCs w:val="26"/>
        </w:rPr>
        <w:t xml:space="preserve"> . . . . . . . . . . . . . . </w:t>
      </w:r>
    </w:p>
    <w:p w:rsidR="0084308C" w:rsidRPr="00353176" w:rsidRDefault="0084308C" w:rsidP="0084308C">
      <w:pPr>
        <w:jc w:val="both"/>
        <w:rPr>
          <w:rFonts w:ascii="Calibri" w:hAnsi="Calibri" w:cs="Calibri"/>
          <w:color w:val="767171" w:themeColor="background2" w:themeShade="80"/>
          <w:sz w:val="26"/>
          <w:szCs w:val="26"/>
        </w:rPr>
      </w:pPr>
    </w:p>
    <w:p w:rsidR="0084308C" w:rsidRPr="00353176" w:rsidRDefault="0084308C" w:rsidP="0084308C">
      <w:pPr>
        <w:ind w:firstLine="708"/>
        <w:jc w:val="both"/>
        <w:rPr>
          <w:rFonts w:ascii="Calibri" w:hAnsi="Calibri" w:cs="Calibri"/>
          <w:color w:val="767171" w:themeColor="background2" w:themeShade="80"/>
          <w:sz w:val="26"/>
          <w:szCs w:val="26"/>
        </w:rPr>
      </w:pPr>
      <w:r w:rsidRPr="00353176">
        <w:rPr>
          <w:rFonts w:ascii="Calibri" w:hAnsi="Calibri" w:cs="Calibri"/>
          <w:b/>
          <w:bCs/>
          <w:color w:val="767171" w:themeColor="background2" w:themeShade="80"/>
          <w:sz w:val="26"/>
          <w:szCs w:val="26"/>
        </w:rPr>
        <w:t xml:space="preserve">b).- Autoridad demandada: </w:t>
      </w:r>
      <w:r>
        <w:rPr>
          <w:rFonts w:ascii="Calibri" w:hAnsi="Calibri" w:cs="Calibri"/>
          <w:bCs/>
          <w:color w:val="767171" w:themeColor="background2" w:themeShade="80"/>
          <w:sz w:val="26"/>
          <w:szCs w:val="26"/>
        </w:rPr>
        <w:t>La</w:t>
      </w:r>
      <w:r w:rsidRPr="00353176">
        <w:rPr>
          <w:rFonts w:ascii="Calibri" w:hAnsi="Calibri" w:cs="Calibri"/>
          <w:color w:val="767171" w:themeColor="background2" w:themeShade="80"/>
          <w:sz w:val="26"/>
          <w:szCs w:val="26"/>
        </w:rPr>
        <w:t xml:space="preserve"> Agente de Tránsito </w:t>
      </w:r>
      <w:r>
        <w:rPr>
          <w:rFonts w:ascii="Calibri" w:hAnsi="Calibri" w:cs="Calibri"/>
          <w:color w:val="767171" w:themeColor="background2" w:themeShade="80"/>
          <w:sz w:val="26"/>
          <w:szCs w:val="26"/>
        </w:rPr>
        <w:t xml:space="preserve">Municipal </w:t>
      </w:r>
      <w:r w:rsidRPr="00353176">
        <w:rPr>
          <w:rFonts w:ascii="Calibri" w:hAnsi="Calibri" w:cs="Calibri"/>
          <w:color w:val="767171" w:themeColor="background2" w:themeShade="80"/>
          <w:sz w:val="26"/>
          <w:szCs w:val="26"/>
        </w:rPr>
        <w:t>de nombre</w:t>
      </w:r>
      <w:r w:rsidRPr="00603C4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 . . . . . . . . . . . . . . . . . . . . . . . . . . . . . . . . . . . . . .</w:t>
      </w:r>
      <w:r>
        <w:rPr>
          <w:rFonts w:ascii="Calibri" w:hAnsi="Calibri" w:cs="Calibri"/>
          <w:color w:val="767171" w:themeColor="background2" w:themeShade="80"/>
          <w:sz w:val="26"/>
          <w:szCs w:val="26"/>
        </w:rPr>
        <w:t xml:space="preserve"> . . . . . </w:t>
      </w:r>
    </w:p>
    <w:p w:rsidR="0084308C" w:rsidRPr="00353176" w:rsidRDefault="0084308C" w:rsidP="0084308C">
      <w:pPr>
        <w:ind w:firstLine="708"/>
        <w:jc w:val="both"/>
        <w:rPr>
          <w:rFonts w:ascii="Calibri" w:hAnsi="Calibri" w:cs="Calibri"/>
          <w:color w:val="767171" w:themeColor="background2" w:themeShade="80"/>
          <w:sz w:val="26"/>
          <w:szCs w:val="26"/>
        </w:rPr>
      </w:pPr>
    </w:p>
    <w:p w:rsidR="0084308C" w:rsidRPr="00353176" w:rsidRDefault="0084308C" w:rsidP="0084308C">
      <w:pPr>
        <w:ind w:firstLine="708"/>
        <w:jc w:val="both"/>
        <w:rPr>
          <w:rFonts w:ascii="Calibri" w:hAnsi="Calibri"/>
          <w:bCs/>
          <w:color w:val="767171" w:themeColor="background2" w:themeShade="80"/>
          <w:sz w:val="26"/>
          <w:szCs w:val="26"/>
        </w:rPr>
      </w:pPr>
      <w:r w:rsidRPr="00353176">
        <w:rPr>
          <w:rFonts w:ascii="Calibri" w:hAnsi="Calibri"/>
          <w:b/>
          <w:bCs/>
          <w:color w:val="767171" w:themeColor="background2" w:themeShade="80"/>
          <w:sz w:val="26"/>
          <w:szCs w:val="26"/>
        </w:rPr>
        <w:t xml:space="preserve">c).- Pretensiones: </w:t>
      </w:r>
      <w:r w:rsidRPr="00353176">
        <w:rPr>
          <w:rFonts w:ascii="Calibri" w:hAnsi="Calibri"/>
          <w:bCs/>
          <w:color w:val="767171" w:themeColor="background2" w:themeShade="80"/>
          <w:sz w:val="26"/>
          <w:szCs w:val="26"/>
        </w:rPr>
        <w:t xml:space="preserve">La nulidad del acta de infracción impugnada y la devolución de la </w:t>
      </w:r>
      <w:r>
        <w:rPr>
          <w:rFonts w:ascii="Calibri" w:hAnsi="Calibri"/>
          <w:bCs/>
          <w:color w:val="767171" w:themeColor="background2" w:themeShade="80"/>
          <w:sz w:val="26"/>
          <w:szCs w:val="26"/>
        </w:rPr>
        <w:t>placa</w:t>
      </w:r>
      <w:r w:rsidRPr="00353176">
        <w:rPr>
          <w:rFonts w:ascii="Calibri" w:hAnsi="Calibri"/>
          <w:bCs/>
          <w:color w:val="767171" w:themeColor="background2" w:themeShade="80"/>
          <w:sz w:val="26"/>
          <w:szCs w:val="26"/>
        </w:rPr>
        <w:t xml:space="preserve"> de circulación retenida en garantía de la multa que, en su caso, se impusiera. . . . . . . . . . . . . . . . . . . . . . . . . . . . . . . . . . . . . . . . . . . . . . . . . . . . . . </w:t>
      </w:r>
    </w:p>
    <w:p w:rsidR="0084308C" w:rsidRPr="00353176" w:rsidRDefault="0084308C" w:rsidP="0084308C">
      <w:pPr>
        <w:jc w:val="both"/>
        <w:rPr>
          <w:rFonts w:ascii="Calibri" w:hAnsi="Calibri" w:cs="Calibri"/>
          <w:color w:val="767171" w:themeColor="background2" w:themeShade="80"/>
          <w:sz w:val="26"/>
          <w:szCs w:val="26"/>
        </w:rPr>
      </w:pPr>
    </w:p>
    <w:p w:rsidR="0084308C" w:rsidRPr="00353176" w:rsidRDefault="0084308C" w:rsidP="0084308C">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SEGUNDO.- </w:t>
      </w:r>
      <w:r w:rsidRPr="00353176">
        <w:rPr>
          <w:rFonts w:ascii="Calibri" w:hAnsi="Calibri" w:cs="Calibri"/>
          <w:iCs/>
          <w:color w:val="767171" w:themeColor="background2" w:themeShade="80"/>
          <w:sz w:val="26"/>
          <w:szCs w:val="26"/>
        </w:rPr>
        <w:t>P</w:t>
      </w:r>
      <w:r w:rsidRPr="00353176">
        <w:rPr>
          <w:rFonts w:ascii="Calibri" w:hAnsi="Calibri" w:cs="Calibri"/>
          <w:color w:val="767171" w:themeColor="background2" w:themeShade="80"/>
          <w:sz w:val="26"/>
          <w:szCs w:val="26"/>
        </w:rPr>
        <w:t xml:space="preserve">or razón de turno, este Juzgado Segundo Administrativo tuvo conocimiento del presente proceso, por lo que por auto del día </w:t>
      </w:r>
      <w:r>
        <w:rPr>
          <w:rFonts w:ascii="Calibri" w:hAnsi="Calibri" w:cs="Calibri"/>
          <w:color w:val="767171" w:themeColor="background2" w:themeShade="80"/>
          <w:sz w:val="26"/>
          <w:szCs w:val="26"/>
        </w:rPr>
        <w:t>9</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nueve</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octubre</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xml:space="preserve">, se admitió a trámite la demanda; teniéndose al actor, por ofrecida y admitida como prueba, la documental </w:t>
      </w:r>
      <w:r>
        <w:rPr>
          <w:rFonts w:ascii="Calibri" w:hAnsi="Calibri" w:cs="Calibri"/>
          <w:color w:val="767171" w:themeColor="background2" w:themeShade="80"/>
          <w:sz w:val="26"/>
          <w:szCs w:val="26"/>
        </w:rPr>
        <w:t>que a</w:t>
      </w:r>
      <w:r w:rsidRPr="00353176">
        <w:rPr>
          <w:rFonts w:ascii="Calibri" w:hAnsi="Calibri" w:cs="Calibri"/>
          <w:color w:val="767171" w:themeColor="background2" w:themeShade="80"/>
          <w:sz w:val="26"/>
          <w:szCs w:val="26"/>
        </w:rPr>
        <w:t>d</w:t>
      </w:r>
      <w:r>
        <w:rPr>
          <w:rFonts w:ascii="Calibri" w:hAnsi="Calibri" w:cs="Calibri"/>
          <w:color w:val="767171" w:themeColor="background2" w:themeShade="80"/>
          <w:sz w:val="26"/>
          <w:szCs w:val="26"/>
        </w:rPr>
        <w:t>juntó</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su escrito de demanda, la que se tuvo por desahogada desde ese momento, dada su propia naturaleza. . . . . . . . . . . . .</w:t>
      </w:r>
      <w:r>
        <w:rPr>
          <w:rFonts w:ascii="Calibri" w:hAnsi="Calibri" w:cs="Calibri"/>
          <w:color w:val="767171" w:themeColor="background2" w:themeShade="80"/>
          <w:sz w:val="26"/>
          <w:szCs w:val="26"/>
        </w:rPr>
        <w:t xml:space="preserve"> . . . . . . . . . . . . . . . . .</w:t>
      </w:r>
      <w:r w:rsidRPr="00353176">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w:t>
      </w:r>
    </w:p>
    <w:p w:rsidR="0084308C" w:rsidRDefault="0084308C" w:rsidP="0084308C">
      <w:pPr>
        <w:jc w:val="both"/>
        <w:rPr>
          <w:rFonts w:ascii="Calibri" w:hAnsi="Calibri" w:cs="Calibri"/>
          <w:color w:val="767171" w:themeColor="background2" w:themeShade="80"/>
          <w:sz w:val="26"/>
          <w:szCs w:val="26"/>
        </w:rPr>
      </w:pPr>
    </w:p>
    <w:p w:rsidR="0084308C" w:rsidRDefault="0084308C" w:rsidP="0084308C">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b/>
        <w:t xml:space="preserve">Respecto de la suspensión del acto impugnado solicitada, </w:t>
      </w:r>
      <w:r w:rsidRPr="00C14214">
        <w:rPr>
          <w:rFonts w:ascii="Calibri" w:hAnsi="Calibri" w:cs="Calibri"/>
          <w:b/>
          <w:color w:val="767171" w:themeColor="background2" w:themeShade="80"/>
          <w:sz w:val="26"/>
          <w:szCs w:val="26"/>
        </w:rPr>
        <w:t>se concedió</w:t>
      </w:r>
      <w:r>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w:t>
      </w:r>
    </w:p>
    <w:p w:rsidR="0084308C" w:rsidRPr="00353176" w:rsidRDefault="0084308C" w:rsidP="0084308C">
      <w:pPr>
        <w:jc w:val="both"/>
        <w:rPr>
          <w:rFonts w:ascii="Calibri" w:hAnsi="Calibri" w:cs="Calibri"/>
          <w:color w:val="767171" w:themeColor="background2" w:themeShade="80"/>
          <w:sz w:val="26"/>
          <w:szCs w:val="26"/>
        </w:rPr>
      </w:pPr>
    </w:p>
    <w:p w:rsidR="0084308C" w:rsidRDefault="0084308C" w:rsidP="0084308C">
      <w:pPr>
        <w:ind w:firstLine="708"/>
        <w:jc w:val="both"/>
        <w:rPr>
          <w:rFonts w:ascii="Calibri" w:hAnsi="Calibri" w:cs="Calibri"/>
          <w:bCs/>
          <w:iCs/>
          <w:color w:val="767171" w:themeColor="background2" w:themeShade="80"/>
          <w:sz w:val="26"/>
          <w:szCs w:val="26"/>
        </w:rPr>
      </w:pPr>
      <w:r w:rsidRPr="00353176">
        <w:rPr>
          <w:rFonts w:ascii="Calibri" w:hAnsi="Calibri" w:cs="Calibri"/>
          <w:color w:val="767171" w:themeColor="background2" w:themeShade="80"/>
          <w:sz w:val="26"/>
          <w:szCs w:val="26"/>
        </w:rPr>
        <w:lastRenderedPageBreak/>
        <w:t>Asimismo se ordenó emplazar y correr traslado a</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señalad</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como demandad</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para que diera contestación a la demanda, lo que </w:t>
      </w:r>
      <w:r w:rsidRPr="00353176">
        <w:rPr>
          <w:rFonts w:ascii="Calibri" w:hAnsi="Calibri" w:cs="Calibri"/>
          <w:b/>
          <w:color w:val="767171" w:themeColor="background2" w:themeShade="80"/>
          <w:sz w:val="26"/>
          <w:szCs w:val="26"/>
        </w:rPr>
        <w:t xml:space="preserve"> </w:t>
      </w:r>
      <w:r w:rsidRPr="00353176">
        <w:rPr>
          <w:rFonts w:ascii="Calibri" w:hAnsi="Calibri" w:cs="Calibri"/>
          <w:color w:val="767171" w:themeColor="background2" w:themeShade="80"/>
          <w:sz w:val="26"/>
          <w:szCs w:val="26"/>
        </w:rPr>
        <w:t>hizo 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 xml:space="preserve">a </w:t>
      </w:r>
      <w:r>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30 treinta</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octubre</w:t>
      </w:r>
      <w:r w:rsidRPr="0035317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xml:space="preserve"> (l</w:t>
      </w:r>
      <w:r>
        <w:rPr>
          <w:rFonts w:ascii="Calibri" w:hAnsi="Calibri" w:cs="Calibri"/>
          <w:color w:val="767171" w:themeColor="background2" w:themeShade="80"/>
          <w:sz w:val="26"/>
          <w:szCs w:val="26"/>
        </w:rPr>
        <w:t>ocalizable en las fojas de la 12 do</w:t>
      </w:r>
      <w:r w:rsidRPr="00353176">
        <w:rPr>
          <w:rFonts w:ascii="Calibri" w:hAnsi="Calibri" w:cs="Calibri"/>
          <w:color w:val="767171" w:themeColor="background2" w:themeShade="80"/>
          <w:sz w:val="26"/>
          <w:szCs w:val="26"/>
        </w:rPr>
        <w:t>ce a la 1</w:t>
      </w:r>
      <w:r>
        <w:rPr>
          <w:rFonts w:ascii="Calibri" w:hAnsi="Calibri" w:cs="Calibri"/>
          <w:color w:val="767171" w:themeColor="background2" w:themeShade="80"/>
          <w:sz w:val="26"/>
          <w:szCs w:val="26"/>
        </w:rPr>
        <w:t>6 dieciséis</w:t>
      </w:r>
      <w:r w:rsidRPr="00353176">
        <w:rPr>
          <w:rFonts w:ascii="Calibri" w:hAnsi="Calibri" w:cs="Calibri"/>
          <w:color w:val="767171" w:themeColor="background2" w:themeShade="80"/>
          <w:sz w:val="26"/>
          <w:szCs w:val="26"/>
        </w:rPr>
        <w:t xml:space="preserve">), en el que </w:t>
      </w:r>
      <w:r>
        <w:rPr>
          <w:rFonts w:ascii="Calibri" w:hAnsi="Calibri" w:cs="Calibri"/>
          <w:color w:val="767171" w:themeColor="background2" w:themeShade="80"/>
          <w:sz w:val="26"/>
          <w:szCs w:val="26"/>
        </w:rPr>
        <w:t xml:space="preserve">hizo valer una causal de improcedencia, </w:t>
      </w:r>
      <w:r w:rsidRPr="00353176">
        <w:rPr>
          <w:rFonts w:ascii="Calibri" w:hAnsi="Calibri" w:cs="Calibri"/>
          <w:color w:val="767171" w:themeColor="background2" w:themeShade="80"/>
          <w:sz w:val="26"/>
          <w:szCs w:val="26"/>
        </w:rPr>
        <w:t>sostuvo la legalidad de la boleta impugnada, la que consideró debidamente fundada y motivada; y respecto de los conceptos de impugnación, señaló que estos eran infundados, inope</w:t>
      </w:r>
      <w:r>
        <w:rPr>
          <w:rFonts w:ascii="Calibri" w:hAnsi="Calibri" w:cs="Calibri"/>
          <w:color w:val="767171" w:themeColor="background2" w:themeShade="80"/>
          <w:sz w:val="26"/>
          <w:szCs w:val="26"/>
        </w:rPr>
        <w:t xml:space="preserve">rantes e insuficientes. . . . . . . . . . . . . . . . . . . . . . . . . . . . . . . . . . . . </w:t>
      </w:r>
    </w:p>
    <w:p w:rsidR="0084308C" w:rsidRPr="00353176" w:rsidRDefault="0084308C" w:rsidP="0084308C">
      <w:pPr>
        <w:ind w:firstLine="708"/>
        <w:jc w:val="both"/>
        <w:rPr>
          <w:rFonts w:ascii="Calibri" w:hAnsi="Calibri" w:cs="Calibri"/>
          <w:color w:val="767171" w:themeColor="background2" w:themeShade="80"/>
          <w:sz w:val="26"/>
          <w:szCs w:val="26"/>
        </w:rPr>
      </w:pPr>
    </w:p>
    <w:p w:rsidR="0084308C" w:rsidRPr="00353176" w:rsidRDefault="0084308C" w:rsidP="0084308C">
      <w:pPr>
        <w:pStyle w:val="Textoindependiente"/>
        <w:ind w:firstLine="708"/>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TERCERO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1 uno de noviembre </w:t>
      </w:r>
      <w:r w:rsidRPr="00353176">
        <w:rPr>
          <w:rFonts w:ascii="Calibri" w:hAnsi="Calibri" w:cs="Calibri"/>
          <w:color w:val="767171" w:themeColor="background2" w:themeShade="80"/>
          <w:sz w:val="26"/>
          <w:szCs w:val="26"/>
        </w:rPr>
        <w:t>del año 201</w:t>
      </w:r>
      <w:r>
        <w:rPr>
          <w:rFonts w:ascii="Calibri" w:hAnsi="Calibri" w:cs="Calibri"/>
          <w:color w:val="767171" w:themeColor="background2" w:themeShade="80"/>
          <w:sz w:val="26"/>
          <w:szCs w:val="26"/>
        </w:rPr>
        <w:t xml:space="preserve">7 </w:t>
      </w:r>
      <w:r w:rsidRPr="00353176">
        <w:rPr>
          <w:rFonts w:ascii="Calibri" w:hAnsi="Calibri" w:cs="Calibri"/>
          <w:color w:val="767171" w:themeColor="background2" w:themeShade="80"/>
          <w:sz w:val="26"/>
          <w:szCs w:val="26"/>
        </w:rPr>
        <w:t>dos mil diecis</w:t>
      </w:r>
      <w:r>
        <w:rPr>
          <w:rFonts w:ascii="Calibri" w:hAnsi="Calibri" w:cs="Calibri"/>
          <w:color w:val="767171" w:themeColor="background2" w:themeShade="80"/>
          <w:sz w:val="26"/>
          <w:szCs w:val="26"/>
        </w:rPr>
        <w:t>iete</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se tuvo a</w:t>
      </w:r>
      <w:r>
        <w:rPr>
          <w:rFonts w:ascii="Calibri" w:hAnsi="Calibri"/>
          <w:color w:val="767171" w:themeColor="background2" w:themeShade="80"/>
          <w:sz w:val="26"/>
          <w:szCs w:val="26"/>
        </w:rPr>
        <w:t xml:space="preserve"> la</w:t>
      </w:r>
      <w:r w:rsidRPr="00353176">
        <w:rPr>
          <w:rFonts w:ascii="Calibri" w:hAnsi="Calibri"/>
          <w:color w:val="767171" w:themeColor="background2" w:themeShade="80"/>
          <w:sz w:val="26"/>
          <w:szCs w:val="26"/>
        </w:rPr>
        <w:t xml:space="preserve"> Agente de Tránsito demandad</w:t>
      </w:r>
      <w:r>
        <w:rPr>
          <w:rFonts w:ascii="Calibri" w:hAnsi="Calibri"/>
          <w:color w:val="767171" w:themeColor="background2" w:themeShade="80"/>
          <w:sz w:val="26"/>
          <w:szCs w:val="26"/>
        </w:rPr>
        <w:t xml:space="preserve">a </w:t>
      </w:r>
      <w:r w:rsidRPr="00353176">
        <w:rPr>
          <w:rFonts w:ascii="Calibri" w:hAnsi="Calibri"/>
          <w:color w:val="767171" w:themeColor="background2" w:themeShade="80"/>
          <w:sz w:val="26"/>
          <w:szCs w:val="26"/>
        </w:rPr>
        <w:t xml:space="preserve">por </w:t>
      </w:r>
      <w:r w:rsidRPr="00353176">
        <w:rPr>
          <w:rFonts w:ascii="Calibri" w:hAnsi="Calibri"/>
          <w:b/>
          <w:color w:val="767171" w:themeColor="background2" w:themeShade="80"/>
          <w:sz w:val="26"/>
          <w:szCs w:val="26"/>
        </w:rPr>
        <w:t>contestando,</w:t>
      </w:r>
      <w:r w:rsidRPr="00353176">
        <w:rPr>
          <w:rFonts w:ascii="Calibri" w:hAnsi="Calibri"/>
          <w:color w:val="767171" w:themeColor="background2" w:themeShade="80"/>
          <w:sz w:val="26"/>
          <w:szCs w:val="26"/>
        </w:rPr>
        <w:t xml:space="preserve"> en tiempo y forma, la demanda instaurada en su contra. . . . . . . . . . . . . . . . . . . . . . . . .</w:t>
      </w:r>
      <w:r>
        <w:rPr>
          <w:rFonts w:ascii="Calibri" w:hAnsi="Calibri"/>
          <w:color w:val="767171" w:themeColor="background2" w:themeShade="80"/>
          <w:sz w:val="26"/>
          <w:szCs w:val="26"/>
        </w:rPr>
        <w:t xml:space="preserve"> . . . . . . .</w:t>
      </w:r>
      <w:r w:rsidRPr="00353176">
        <w:rPr>
          <w:rFonts w:ascii="Calibri" w:hAnsi="Calibri"/>
          <w:color w:val="767171" w:themeColor="background2" w:themeShade="80"/>
          <w:sz w:val="26"/>
          <w:szCs w:val="26"/>
        </w:rPr>
        <w:t xml:space="preserve"> </w:t>
      </w:r>
    </w:p>
    <w:p w:rsidR="0084308C" w:rsidRPr="00353176" w:rsidRDefault="0084308C" w:rsidP="0084308C">
      <w:pPr>
        <w:pStyle w:val="Textoindependiente"/>
        <w:ind w:firstLine="708"/>
        <w:rPr>
          <w:rFonts w:ascii="Calibri" w:hAnsi="Calibri"/>
          <w:color w:val="767171" w:themeColor="background2" w:themeShade="80"/>
          <w:sz w:val="26"/>
          <w:szCs w:val="26"/>
        </w:rPr>
      </w:pPr>
    </w:p>
    <w:p w:rsidR="0084308C" w:rsidRPr="00353176" w:rsidRDefault="0084308C" w:rsidP="0084308C">
      <w:pPr>
        <w:pStyle w:val="Textoindependiente"/>
        <w:ind w:firstLine="708"/>
        <w:rPr>
          <w:rFonts w:ascii="Calibri" w:hAnsi="Calibri" w:cs="Calibri"/>
          <w:color w:val="767171" w:themeColor="background2" w:themeShade="80"/>
          <w:sz w:val="26"/>
          <w:szCs w:val="26"/>
        </w:rPr>
      </w:pPr>
      <w:r w:rsidRPr="00353176">
        <w:rPr>
          <w:rFonts w:ascii="Calibri" w:hAnsi="Calibri"/>
          <w:color w:val="767171" w:themeColor="background2" w:themeShade="80"/>
          <w:sz w:val="26"/>
          <w:szCs w:val="26"/>
        </w:rPr>
        <w:t>Así también</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se le tuvieron por ofrecidas y admitidas como pruebas de su parte, la documental admitida al actor, así como la copia certificada de su gafete que adjuntó a su escrito de contestación (palpable a foja 1</w:t>
      </w:r>
      <w:r>
        <w:rPr>
          <w:rFonts w:ascii="Calibri" w:hAnsi="Calibri"/>
          <w:color w:val="767171" w:themeColor="background2" w:themeShade="80"/>
          <w:sz w:val="26"/>
          <w:szCs w:val="26"/>
        </w:rPr>
        <w:t xml:space="preserve">7 </w:t>
      </w:r>
      <w:r w:rsidRPr="00353176">
        <w:rPr>
          <w:rFonts w:ascii="Calibri" w:hAnsi="Calibri"/>
          <w:color w:val="767171" w:themeColor="background2" w:themeShade="80"/>
          <w:sz w:val="26"/>
          <w:szCs w:val="26"/>
        </w:rPr>
        <w:t>dieci</w:t>
      </w:r>
      <w:r>
        <w:rPr>
          <w:rFonts w:ascii="Calibri" w:hAnsi="Calibri"/>
          <w:color w:val="767171" w:themeColor="background2" w:themeShade="80"/>
          <w:sz w:val="26"/>
          <w:szCs w:val="26"/>
        </w:rPr>
        <w:t>siete</w:t>
      </w:r>
      <w:r w:rsidRPr="00353176">
        <w:rPr>
          <w:rFonts w:ascii="Calibri" w:hAnsi="Calibri"/>
          <w:color w:val="767171" w:themeColor="background2" w:themeShade="80"/>
          <w:sz w:val="26"/>
          <w:szCs w:val="26"/>
        </w:rPr>
        <w:t xml:space="preserve">); pruebas que dada su naturaleza, se tuvieron por desahogadas desde ese momento y la presuncional, en su doble aspecto. </w:t>
      </w:r>
      <w:r w:rsidRPr="00353176">
        <w:rPr>
          <w:rFonts w:ascii="Calibri" w:hAnsi="Calibri" w:cs="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w:t>
      </w:r>
    </w:p>
    <w:p w:rsidR="0084308C" w:rsidRPr="00353176" w:rsidRDefault="0084308C" w:rsidP="0084308C">
      <w:pPr>
        <w:pStyle w:val="Textoindependiente"/>
        <w:ind w:firstLine="708"/>
        <w:rPr>
          <w:rFonts w:ascii="Calibri" w:hAnsi="Calibri"/>
          <w:color w:val="767171" w:themeColor="background2" w:themeShade="80"/>
          <w:sz w:val="26"/>
          <w:szCs w:val="26"/>
        </w:rPr>
      </w:pPr>
    </w:p>
    <w:p w:rsidR="0084308C" w:rsidRPr="00353176" w:rsidRDefault="0084308C" w:rsidP="0084308C">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A4795">
        <w:rPr>
          <w:rFonts w:ascii="Calibri" w:hAnsi="Calibri"/>
          <w:b/>
          <w:color w:val="767171" w:themeColor="background2" w:themeShade="80"/>
          <w:sz w:val="26"/>
          <w:szCs w:val="26"/>
        </w:rPr>
        <w:t>Audiencia de Alegatos</w:t>
      </w:r>
      <w:r w:rsidRPr="00353176">
        <w:rPr>
          <w:rFonts w:ascii="Calibri" w:hAnsi="Calibri"/>
          <w:color w:val="767171" w:themeColor="background2" w:themeShade="80"/>
          <w:sz w:val="26"/>
          <w:szCs w:val="26"/>
        </w:rPr>
        <w:t xml:space="preserve">, a celebrarse el día </w:t>
      </w:r>
      <w:r w:rsidRPr="00393C28">
        <w:rPr>
          <w:rFonts w:ascii="Calibri" w:hAnsi="Calibri"/>
          <w:b/>
          <w:color w:val="767171" w:themeColor="background2" w:themeShade="80"/>
          <w:sz w:val="26"/>
          <w:szCs w:val="26"/>
        </w:rPr>
        <w:t>1</w:t>
      </w:r>
      <w:r>
        <w:rPr>
          <w:rFonts w:ascii="Calibri" w:hAnsi="Calibri"/>
          <w:b/>
          <w:color w:val="767171" w:themeColor="background2" w:themeShade="80"/>
          <w:sz w:val="26"/>
          <w:szCs w:val="26"/>
        </w:rPr>
        <w:t>9</w:t>
      </w:r>
      <w:r>
        <w:rPr>
          <w:rFonts w:ascii="Calibri" w:hAnsi="Calibri"/>
          <w:color w:val="767171" w:themeColor="background2" w:themeShade="80"/>
          <w:sz w:val="26"/>
          <w:szCs w:val="26"/>
        </w:rPr>
        <w:t xml:space="preserve"> </w:t>
      </w:r>
      <w:r w:rsidRPr="000A4795">
        <w:rPr>
          <w:rFonts w:ascii="Calibri" w:hAnsi="Calibri"/>
          <w:color w:val="767171" w:themeColor="background2" w:themeShade="80"/>
          <w:sz w:val="26"/>
          <w:szCs w:val="26"/>
        </w:rPr>
        <w:t>die</w:t>
      </w:r>
      <w:r>
        <w:rPr>
          <w:rFonts w:ascii="Calibri" w:hAnsi="Calibri"/>
          <w:color w:val="767171" w:themeColor="background2" w:themeShade="80"/>
          <w:sz w:val="26"/>
          <w:szCs w:val="26"/>
        </w:rPr>
        <w:t>cinueve d</w:t>
      </w:r>
      <w:r w:rsidRPr="000A4795">
        <w:rPr>
          <w:rFonts w:ascii="Calibri" w:hAnsi="Calibri"/>
          <w:color w:val="767171" w:themeColor="background2" w:themeShade="80"/>
          <w:sz w:val="26"/>
          <w:szCs w:val="26"/>
        </w:rPr>
        <w:t>e</w:t>
      </w:r>
      <w:r w:rsidRPr="00182B59">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enero</w:t>
      </w:r>
      <w:r>
        <w:rPr>
          <w:rFonts w:ascii="Calibri" w:hAnsi="Calibri"/>
          <w:color w:val="767171" w:themeColor="background2" w:themeShade="80"/>
          <w:sz w:val="26"/>
          <w:szCs w:val="26"/>
        </w:rPr>
        <w:t xml:space="preserve"> del</w:t>
      </w:r>
      <w:r w:rsidRPr="00353176">
        <w:rPr>
          <w:rFonts w:ascii="Calibri" w:hAnsi="Calibri"/>
          <w:color w:val="767171" w:themeColor="background2" w:themeShade="80"/>
          <w:sz w:val="26"/>
          <w:szCs w:val="26"/>
        </w:rPr>
        <w:t xml:space="preserve"> año</w:t>
      </w:r>
      <w:r>
        <w:rPr>
          <w:rFonts w:ascii="Calibri" w:hAnsi="Calibri"/>
          <w:color w:val="767171" w:themeColor="background2" w:themeShade="80"/>
          <w:sz w:val="26"/>
          <w:szCs w:val="26"/>
        </w:rPr>
        <w:t xml:space="preserve"> </w:t>
      </w:r>
      <w:r>
        <w:rPr>
          <w:rFonts w:ascii="Calibri" w:hAnsi="Calibri"/>
          <w:b/>
          <w:color w:val="767171" w:themeColor="background2" w:themeShade="80"/>
          <w:sz w:val="26"/>
          <w:szCs w:val="26"/>
        </w:rPr>
        <w:t xml:space="preserve">2018 </w:t>
      </w:r>
      <w:r>
        <w:rPr>
          <w:rFonts w:ascii="Calibri" w:hAnsi="Calibri"/>
          <w:color w:val="767171" w:themeColor="background2" w:themeShade="80"/>
          <w:sz w:val="26"/>
          <w:szCs w:val="26"/>
        </w:rPr>
        <w:t>dos mil dieciocho</w:t>
      </w:r>
      <w:r w:rsidRPr="00353176">
        <w:rPr>
          <w:rFonts w:ascii="Calibri" w:hAnsi="Calibri"/>
          <w:color w:val="767171" w:themeColor="background2" w:themeShade="80"/>
          <w:sz w:val="26"/>
          <w:szCs w:val="26"/>
        </w:rPr>
        <w:t xml:space="preserve">; a las </w:t>
      </w:r>
      <w:r w:rsidRPr="00353176">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353176">
        <w:rPr>
          <w:rFonts w:ascii="Calibri" w:hAnsi="Calibri"/>
          <w:b/>
          <w:color w:val="767171" w:themeColor="background2" w:themeShade="80"/>
          <w:sz w:val="26"/>
          <w:szCs w:val="26"/>
        </w:rPr>
        <w:t>:</w:t>
      </w:r>
      <w:r>
        <w:rPr>
          <w:rFonts w:ascii="Calibri" w:hAnsi="Calibri"/>
          <w:b/>
          <w:color w:val="767171" w:themeColor="background2" w:themeShade="80"/>
          <w:sz w:val="26"/>
          <w:szCs w:val="26"/>
        </w:rPr>
        <w:t>3</w:t>
      </w:r>
      <w:r w:rsidRPr="00353176">
        <w:rPr>
          <w:rFonts w:ascii="Calibri" w:hAnsi="Calibri"/>
          <w:b/>
          <w:color w:val="767171" w:themeColor="background2" w:themeShade="80"/>
          <w:sz w:val="26"/>
          <w:szCs w:val="26"/>
        </w:rPr>
        <w:t>0</w:t>
      </w:r>
      <w:r w:rsidRPr="0035317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353176">
        <w:rPr>
          <w:rFonts w:ascii="Calibri" w:hAnsi="Calibri"/>
          <w:color w:val="767171" w:themeColor="background2" w:themeShade="80"/>
          <w:sz w:val="26"/>
          <w:szCs w:val="26"/>
        </w:rPr>
        <w:t xml:space="preserve"> horas </w:t>
      </w:r>
      <w:r>
        <w:rPr>
          <w:rFonts w:ascii="Calibri" w:hAnsi="Calibri"/>
          <w:color w:val="767171" w:themeColor="background2" w:themeShade="80"/>
          <w:sz w:val="26"/>
          <w:szCs w:val="26"/>
        </w:rPr>
        <w:t xml:space="preserve">con treinta minutos </w:t>
      </w:r>
      <w:r w:rsidRPr="00353176">
        <w:rPr>
          <w:rFonts w:ascii="Calibri" w:hAnsi="Calibri"/>
          <w:color w:val="767171" w:themeColor="background2" w:themeShade="80"/>
          <w:sz w:val="26"/>
          <w:szCs w:val="26"/>
        </w:rPr>
        <w:t>en el recinto de este Juz</w:t>
      </w:r>
      <w:r>
        <w:rPr>
          <w:rFonts w:ascii="Calibri" w:hAnsi="Calibri"/>
          <w:color w:val="767171" w:themeColor="background2" w:themeShade="80"/>
          <w:sz w:val="26"/>
          <w:szCs w:val="26"/>
        </w:rPr>
        <w:t xml:space="preserve">gado. </w:t>
      </w:r>
    </w:p>
    <w:p w:rsidR="0084308C" w:rsidRPr="00353176" w:rsidRDefault="0084308C" w:rsidP="0084308C">
      <w:pPr>
        <w:pStyle w:val="Textoindependiente"/>
        <w:rPr>
          <w:rFonts w:ascii="Calibri" w:hAnsi="Calibri" w:cs="Calibri"/>
          <w:b/>
          <w:bCs/>
          <w:i/>
          <w:iCs/>
          <w:color w:val="767171" w:themeColor="background2" w:themeShade="80"/>
          <w:sz w:val="26"/>
          <w:szCs w:val="26"/>
        </w:rPr>
      </w:pPr>
    </w:p>
    <w:p w:rsidR="0084308C" w:rsidRPr="00353176" w:rsidRDefault="0084308C" w:rsidP="0084308C">
      <w:pPr>
        <w:pStyle w:val="Textoindependiente"/>
        <w:ind w:firstLine="708"/>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w:t>
      </w:r>
      <w:r>
        <w:rPr>
          <w:rFonts w:ascii="Calibri" w:hAnsi="Calibri"/>
          <w:color w:val="767171" w:themeColor="background2" w:themeShade="80"/>
          <w:sz w:val="26"/>
        </w:rPr>
        <w:t xml:space="preserve">. . . . . . . . . . </w:t>
      </w:r>
    </w:p>
    <w:p w:rsidR="0084308C" w:rsidRPr="00353176" w:rsidRDefault="0084308C" w:rsidP="0084308C">
      <w:pPr>
        <w:pStyle w:val="Textoindependiente"/>
        <w:rPr>
          <w:rFonts w:ascii="Calibri" w:hAnsi="Calibri" w:cs="Calibri"/>
          <w:color w:val="767171" w:themeColor="background2" w:themeShade="80"/>
          <w:sz w:val="26"/>
          <w:szCs w:val="26"/>
        </w:rPr>
      </w:pPr>
    </w:p>
    <w:p w:rsidR="0084308C" w:rsidRPr="00353176" w:rsidRDefault="0084308C" w:rsidP="0084308C">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C O N S I D E R A N D O :</w:t>
      </w:r>
    </w:p>
    <w:p w:rsidR="0084308C" w:rsidRPr="00353176" w:rsidRDefault="0084308C" w:rsidP="0084308C">
      <w:pPr>
        <w:pStyle w:val="Textoindependiente"/>
        <w:ind w:firstLine="708"/>
        <w:jc w:val="center"/>
        <w:rPr>
          <w:rFonts w:ascii="Calibri" w:hAnsi="Calibri" w:cs="Calibri"/>
          <w:b/>
          <w:bCs/>
          <w:color w:val="767171" w:themeColor="background2" w:themeShade="80"/>
          <w:sz w:val="26"/>
          <w:szCs w:val="26"/>
        </w:rPr>
      </w:pPr>
    </w:p>
    <w:p w:rsidR="0084308C" w:rsidRPr="00353176" w:rsidRDefault="0084308C" w:rsidP="0084308C">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3176">
        <w:rPr>
          <w:rFonts w:ascii="Calibri" w:hAnsi="Calibri" w:cs="Arial"/>
          <w:color w:val="767171" w:themeColor="background2" w:themeShade="80"/>
          <w:sz w:val="26"/>
          <w:szCs w:val="26"/>
        </w:rPr>
        <w:t>toda vez que se impugna un acto atribuido a un</w:t>
      </w:r>
      <w:r>
        <w:rPr>
          <w:rFonts w:ascii="Calibri" w:hAnsi="Calibri" w:cs="Arial"/>
          <w:color w:val="767171" w:themeColor="background2" w:themeShade="80"/>
          <w:sz w:val="26"/>
          <w:szCs w:val="26"/>
        </w:rPr>
        <w:t>a Agente de Tránsito adscrita</w:t>
      </w:r>
      <w:r w:rsidRPr="00353176">
        <w:rPr>
          <w:rFonts w:ascii="Calibri" w:hAnsi="Calibri" w:cs="Arial"/>
          <w:color w:val="767171" w:themeColor="background2" w:themeShade="80"/>
          <w:sz w:val="26"/>
          <w:szCs w:val="26"/>
        </w:rPr>
        <w:t xml:space="preserve"> a la Dirección General de Tránsito Municipal; autoridad que forma parte de la administración pública municipal de León, Guanajuato. . . . . . . . </w:t>
      </w:r>
      <w:r>
        <w:rPr>
          <w:rFonts w:ascii="Calibri" w:hAnsi="Calibri" w:cs="Arial"/>
          <w:color w:val="767171" w:themeColor="background2" w:themeShade="80"/>
          <w:sz w:val="26"/>
          <w:szCs w:val="26"/>
        </w:rPr>
        <w:t xml:space="preserve">. . . . . . . . . . . </w:t>
      </w:r>
    </w:p>
    <w:p w:rsidR="0084308C" w:rsidRPr="00353176" w:rsidRDefault="0084308C" w:rsidP="0084308C">
      <w:pPr>
        <w:pStyle w:val="Textoindependiente"/>
        <w:rPr>
          <w:rFonts w:ascii="Calibri" w:hAnsi="Calibri" w:cs="Calibri"/>
          <w:b/>
          <w:bCs/>
          <w:color w:val="767171" w:themeColor="background2" w:themeShade="80"/>
          <w:sz w:val="26"/>
          <w:szCs w:val="26"/>
        </w:rPr>
      </w:pPr>
    </w:p>
    <w:p w:rsidR="0084308C" w:rsidRPr="007033E0" w:rsidRDefault="0084308C" w:rsidP="0084308C">
      <w:pPr>
        <w:pStyle w:val="Textoindependiente"/>
        <w:ind w:firstLine="708"/>
        <w:rPr>
          <w:rFonts w:ascii="Calibri" w:hAnsi="Calibri" w:cs="Arial"/>
          <w:color w:val="767171" w:themeColor="background2" w:themeShade="80"/>
          <w:sz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w:t>
      </w:r>
      <w:r w:rsidRPr="000400CF">
        <w:rPr>
          <w:rFonts w:ascii="Calibri" w:hAnsi="Calibri" w:cs="Calibri"/>
          <w:b/>
          <w:color w:val="767171" w:themeColor="background2" w:themeShade="80"/>
          <w:sz w:val="26"/>
          <w:szCs w:val="26"/>
        </w:rPr>
        <w:t>no fue</w:t>
      </w:r>
      <w:r w:rsidRPr="00353176">
        <w:rPr>
          <w:rFonts w:ascii="Calibri" w:hAnsi="Calibri" w:cs="Calibri"/>
          <w:color w:val="767171" w:themeColor="background2" w:themeShade="80"/>
          <w:sz w:val="26"/>
          <w:szCs w:val="26"/>
        </w:rPr>
        <w:t xml:space="preserve"> promovido oportunamente,</w:t>
      </w:r>
      <w:r w:rsidRPr="00B0447A">
        <w:rPr>
          <w:rFonts w:ascii="Calibri" w:hAnsi="Calibri" w:cs="Arial"/>
          <w:b/>
          <w:color w:val="767171" w:themeColor="background2" w:themeShade="80"/>
          <w:sz w:val="26"/>
        </w:rPr>
        <w:t xml:space="preserve"> </w:t>
      </w:r>
      <w:r w:rsidRPr="007033E0">
        <w:rPr>
          <w:rFonts w:ascii="Calibri" w:hAnsi="Calibri" w:cs="Arial"/>
          <w:color w:val="767171" w:themeColor="background2" w:themeShade="80"/>
          <w:sz w:val="26"/>
        </w:rPr>
        <w:t>dentro de los 30 treinta días hábiles siguientes a la fecha en que se ostenta el actor sabedor de la emisión de los actos impugnados; esto es, e</w:t>
      </w:r>
      <w:r w:rsidRPr="007033E0">
        <w:rPr>
          <w:rFonts w:ascii="Calibri" w:hAnsi="Calibri"/>
          <w:color w:val="767171" w:themeColor="background2" w:themeShade="80"/>
          <w:sz w:val="26"/>
        </w:rPr>
        <w:t xml:space="preserve">l día </w:t>
      </w:r>
      <w:r>
        <w:rPr>
          <w:rFonts w:ascii="Calibri" w:hAnsi="Calibri"/>
          <w:color w:val="767171" w:themeColor="background2" w:themeShade="80"/>
          <w:sz w:val="26"/>
        </w:rPr>
        <w:t>2</w:t>
      </w:r>
      <w:r w:rsidRPr="007033E0">
        <w:rPr>
          <w:rFonts w:ascii="Calibri" w:hAnsi="Calibri"/>
          <w:color w:val="767171" w:themeColor="background2" w:themeShade="80"/>
          <w:sz w:val="26"/>
        </w:rPr>
        <w:t xml:space="preserve">1 </w:t>
      </w:r>
      <w:r>
        <w:rPr>
          <w:rFonts w:ascii="Calibri" w:hAnsi="Calibri"/>
          <w:color w:val="767171" w:themeColor="background2" w:themeShade="80"/>
          <w:sz w:val="26"/>
        </w:rPr>
        <w:t xml:space="preserve">veintiuno de agosto del año pasado, </w:t>
      </w:r>
      <w:r w:rsidRPr="007033E0">
        <w:rPr>
          <w:rFonts w:ascii="Calibri" w:hAnsi="Calibri"/>
          <w:color w:val="767171" w:themeColor="background2" w:themeShade="80"/>
          <w:sz w:val="26"/>
        </w:rPr>
        <w:t xml:space="preserve"> tal y como se precisará en siguiente Considerando</w:t>
      </w:r>
      <w:r w:rsidRPr="007033E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w:t>
      </w:r>
      <w:r w:rsidRPr="007033E0">
        <w:rPr>
          <w:rFonts w:ascii="Calibri" w:hAnsi="Calibri"/>
          <w:color w:val="767171" w:themeColor="background2" w:themeShade="80"/>
          <w:sz w:val="26"/>
          <w:szCs w:val="26"/>
        </w:rPr>
        <w:t xml:space="preserve">. . . . . . . . . . . . . . . . . . . . . . . . . . . . . . . . . . . . . . . . . . . . . . . . . </w:t>
      </w:r>
    </w:p>
    <w:p w:rsidR="0084308C" w:rsidRPr="00353176" w:rsidRDefault="0084308C" w:rsidP="0084308C">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 </w:t>
      </w:r>
    </w:p>
    <w:p w:rsidR="0084308C" w:rsidRDefault="0084308C" w:rsidP="0084308C">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T-5705786 (T-cinco--siete-cero-cinco-siete-ocho-seis), de fecha 21 veintiuno de agosto del año 2017 dos mil diecisiete</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w:t>
      </w:r>
      <w:r>
        <w:rPr>
          <w:rFonts w:ascii="Calibri" w:hAnsi="Calibri"/>
          <w:color w:val="767171" w:themeColor="background2" w:themeShade="80"/>
          <w:sz w:val="26"/>
          <w:szCs w:val="26"/>
        </w:rPr>
        <w:t>4</w:t>
      </w:r>
      <w:r w:rsidRPr="0035317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cuatro</w:t>
      </w:r>
      <w:r w:rsidRPr="00353176">
        <w:rPr>
          <w:rFonts w:ascii="Calibri" w:hAnsi="Calibri"/>
          <w:color w:val="767171" w:themeColor="background2" w:themeShade="80"/>
          <w:sz w:val="26"/>
          <w:szCs w:val="26"/>
        </w:rPr>
        <w:t>)</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servidor</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públic</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en el ejercicio de </w:t>
      </w:r>
      <w:r>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l</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w:t>
      </w:r>
    </w:p>
    <w:p w:rsidR="0084308C" w:rsidRDefault="0084308C" w:rsidP="0084308C">
      <w:pPr>
        <w:ind w:firstLine="708"/>
        <w:jc w:val="both"/>
        <w:rPr>
          <w:rFonts w:ascii="Calibri" w:hAnsi="Calibri" w:cs="Calibri"/>
          <w:color w:val="767171" w:themeColor="background2" w:themeShade="80"/>
          <w:sz w:val="26"/>
          <w:szCs w:val="26"/>
        </w:rPr>
      </w:pPr>
    </w:p>
    <w:p w:rsidR="0084308C" w:rsidRDefault="0084308C" w:rsidP="0084308C">
      <w:pPr>
        <w:ind w:firstLine="708"/>
        <w:jc w:val="right"/>
        <w:rPr>
          <w:rFonts w:ascii="Calibri" w:hAnsi="Calibri"/>
          <w:color w:val="767171" w:themeColor="background2" w:themeShade="80"/>
          <w:sz w:val="26"/>
          <w:szCs w:val="27"/>
        </w:rPr>
      </w:pPr>
      <w:r>
        <w:rPr>
          <w:rFonts w:ascii="Calibri" w:hAnsi="Calibri" w:cs="Calibri"/>
          <w:b/>
          <w:color w:val="767171" w:themeColor="background2" w:themeShade="80"/>
          <w:sz w:val="26"/>
          <w:szCs w:val="26"/>
        </w:rPr>
        <w:t xml:space="preserve">Expediente número 1101/2doJAM/2017-JN </w:t>
      </w:r>
    </w:p>
    <w:p w:rsidR="0084308C" w:rsidRDefault="0084308C" w:rsidP="0084308C">
      <w:pPr>
        <w:ind w:firstLine="708"/>
        <w:jc w:val="both"/>
        <w:rPr>
          <w:rFonts w:ascii="Calibri" w:hAnsi="Calibri" w:cs="Calibri"/>
          <w:color w:val="767171" w:themeColor="background2" w:themeShade="80"/>
          <w:sz w:val="26"/>
          <w:szCs w:val="26"/>
        </w:rPr>
      </w:pPr>
    </w:p>
    <w:p w:rsidR="0084308C" w:rsidRPr="00353176" w:rsidRDefault="0084308C" w:rsidP="0084308C">
      <w:pPr>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enjuiciad</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w:t>
      </w:r>
      <w:r w:rsidRPr="00EF4E7C">
        <w:rPr>
          <w:rFonts w:ascii="Calibri" w:hAnsi="Calibri" w:cs="Calibri"/>
          <w:b/>
          <w:color w:val="767171" w:themeColor="background2" w:themeShade="80"/>
          <w:sz w:val="26"/>
          <w:szCs w:val="26"/>
        </w:rPr>
        <w:t>sí elaboró</w:t>
      </w:r>
      <w:r w:rsidRPr="00353176">
        <w:rPr>
          <w:rFonts w:ascii="Calibri" w:hAnsi="Calibri" w:cs="Calibri"/>
          <w:color w:val="767171" w:themeColor="background2" w:themeShade="80"/>
          <w:sz w:val="26"/>
          <w:szCs w:val="26"/>
        </w:rPr>
        <w:t xml:space="preserve"> el acta de infracción que se combate</w:t>
      </w:r>
      <w:r>
        <w:rPr>
          <w:rFonts w:ascii="Calibri" w:hAnsi="Calibri"/>
          <w:color w:val="767171" w:themeColor="background2" w:themeShade="80"/>
          <w:sz w:val="26"/>
          <w:szCs w:val="26"/>
        </w:rPr>
        <w:t>. . . . . . . . . . .</w:t>
      </w:r>
    </w:p>
    <w:p w:rsidR="0084308C" w:rsidRDefault="0084308C" w:rsidP="0084308C">
      <w:pPr>
        <w:jc w:val="both"/>
        <w:rPr>
          <w:rFonts w:ascii="Calibri" w:hAnsi="Calibri"/>
          <w:color w:val="767171" w:themeColor="background2" w:themeShade="80"/>
          <w:sz w:val="26"/>
          <w:szCs w:val="27"/>
        </w:rPr>
      </w:pPr>
    </w:p>
    <w:p w:rsidR="0084308C" w:rsidRPr="00353176" w:rsidRDefault="0084308C" w:rsidP="0084308C">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84308C" w:rsidRPr="00353176" w:rsidRDefault="0084308C" w:rsidP="0084308C">
      <w:pPr>
        <w:jc w:val="both"/>
        <w:rPr>
          <w:rFonts w:ascii="Calibri" w:hAnsi="Calibri" w:cs="Calibri"/>
          <w:b/>
          <w:bCs/>
          <w:i/>
          <w:iCs/>
          <w:color w:val="767171" w:themeColor="background2" w:themeShade="80"/>
          <w:sz w:val="26"/>
          <w:szCs w:val="26"/>
        </w:rPr>
      </w:pPr>
    </w:p>
    <w:p w:rsidR="0084308C" w:rsidRPr="00353176" w:rsidRDefault="0084308C" w:rsidP="0084308C">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84308C" w:rsidRDefault="0084308C" w:rsidP="0084308C">
      <w:pPr>
        <w:jc w:val="both"/>
        <w:rPr>
          <w:rFonts w:ascii="Calibri" w:hAnsi="Calibri" w:cs="Calibri"/>
          <w:b/>
          <w:bCs/>
          <w:i/>
          <w:iCs/>
          <w:color w:val="767171" w:themeColor="background2" w:themeShade="80"/>
          <w:sz w:val="26"/>
          <w:szCs w:val="26"/>
        </w:rPr>
      </w:pPr>
    </w:p>
    <w:p w:rsidR="0084308C" w:rsidRPr="007033E0" w:rsidRDefault="0084308C" w:rsidP="0084308C">
      <w:pPr>
        <w:pStyle w:val="Normal0"/>
        <w:ind w:firstLine="708"/>
        <w:jc w:val="both"/>
        <w:rPr>
          <w:rFonts w:ascii="Calibri" w:hAnsi="Calibri"/>
          <w:color w:val="767171" w:themeColor="background2" w:themeShade="80"/>
          <w:sz w:val="26"/>
          <w:szCs w:val="26"/>
        </w:rPr>
      </w:pPr>
      <w:r w:rsidRPr="007033E0">
        <w:rPr>
          <w:rFonts w:ascii="Calibri" w:hAnsi="Calibri" w:cs="Calibri"/>
          <w:bCs/>
          <w:iCs/>
          <w:color w:val="767171" w:themeColor="background2" w:themeShade="80"/>
          <w:sz w:val="26"/>
          <w:szCs w:val="26"/>
        </w:rPr>
        <w:t xml:space="preserve">La autoridad demandada, </w:t>
      </w:r>
      <w:r>
        <w:rPr>
          <w:rFonts w:ascii="Calibri" w:hAnsi="Calibri" w:cs="Calibri"/>
          <w:bCs/>
          <w:iCs/>
          <w:color w:val="767171" w:themeColor="background2" w:themeShade="80"/>
          <w:sz w:val="26"/>
          <w:szCs w:val="26"/>
        </w:rPr>
        <w:t xml:space="preserve">Agente de Tránsito Municipal, </w:t>
      </w:r>
      <w:r w:rsidRPr="00B0447A">
        <w:rPr>
          <w:rFonts w:ascii="Calibri" w:hAnsi="Calibri" w:cs="Calibri"/>
          <w:b/>
          <w:bCs/>
          <w:iCs/>
          <w:color w:val="767171" w:themeColor="background2" w:themeShade="80"/>
          <w:sz w:val="26"/>
          <w:szCs w:val="26"/>
        </w:rPr>
        <w:t>sí planteó</w:t>
      </w:r>
      <w:r>
        <w:rPr>
          <w:rFonts w:ascii="Calibri" w:hAnsi="Calibri" w:cs="Calibri"/>
          <w:bCs/>
          <w:iCs/>
          <w:color w:val="767171" w:themeColor="background2" w:themeShade="80"/>
          <w:sz w:val="26"/>
          <w:szCs w:val="26"/>
        </w:rPr>
        <w:t xml:space="preserve"> una causal de improcedencia:</w:t>
      </w:r>
      <w:r w:rsidRPr="007033E0">
        <w:rPr>
          <w:rFonts w:ascii="Calibri" w:hAnsi="Calibri" w:cs="Calibri"/>
          <w:bCs/>
          <w:iCs/>
          <w:color w:val="767171" w:themeColor="background2" w:themeShade="80"/>
          <w:sz w:val="26"/>
          <w:szCs w:val="26"/>
        </w:rPr>
        <w:t xml:space="preserve"> la prevista en la fracción IV, del artículo 261 del Código de Procedimiento y Justicia Administrativa para el Estado y los Municipios de Guanajuato; que se refiere a la existencia de consentimiento tácito, al no haberse promovido el proceso administrativo dentro de los plazos señalados en el mencionado código. </w:t>
      </w:r>
      <w:r w:rsidRPr="007033E0">
        <w:rPr>
          <w:rFonts w:ascii="Calibri" w:hAnsi="Calibri"/>
          <w:color w:val="767171" w:themeColor="background2" w:themeShade="80"/>
          <w:sz w:val="26"/>
          <w:szCs w:val="26"/>
        </w:rPr>
        <w:t xml:space="preserve">. . . . . . . . . . . . . . . . . . . . . . . . . . . . . . . . . . . . . . . . . . . . . . . . . . . . </w:t>
      </w:r>
    </w:p>
    <w:p w:rsidR="0084308C" w:rsidRPr="007033E0" w:rsidRDefault="0084308C" w:rsidP="0084308C">
      <w:pPr>
        <w:jc w:val="both"/>
        <w:rPr>
          <w:rFonts w:ascii="Calibri" w:hAnsi="Calibri" w:cs="Calibri"/>
          <w:bCs/>
          <w:iCs/>
          <w:color w:val="767171" w:themeColor="background2" w:themeShade="80"/>
          <w:sz w:val="26"/>
          <w:szCs w:val="26"/>
        </w:rPr>
      </w:pPr>
    </w:p>
    <w:p w:rsidR="0084308C" w:rsidRPr="007033E0" w:rsidRDefault="0084308C" w:rsidP="0084308C">
      <w:pPr>
        <w:ind w:firstLine="708"/>
        <w:jc w:val="both"/>
        <w:rPr>
          <w:rFonts w:ascii="Calibri" w:hAnsi="Calibri"/>
          <w:bCs/>
          <w:iCs/>
          <w:color w:val="767171" w:themeColor="background2" w:themeShade="80"/>
          <w:sz w:val="26"/>
        </w:rPr>
      </w:pPr>
      <w:r w:rsidRPr="007033E0">
        <w:rPr>
          <w:rFonts w:ascii="Calibri" w:hAnsi="Calibri" w:cs="Calibri"/>
          <w:bCs/>
          <w:iCs/>
          <w:color w:val="767171" w:themeColor="background2" w:themeShade="80"/>
          <w:sz w:val="26"/>
          <w:szCs w:val="26"/>
        </w:rPr>
        <w:t>Causal que</w:t>
      </w:r>
      <w:r w:rsidRPr="007033E0">
        <w:rPr>
          <w:rFonts w:ascii="Calibri" w:hAnsi="Calibri" w:cs="Calibri"/>
          <w:b/>
          <w:bCs/>
          <w:iCs/>
          <w:color w:val="767171" w:themeColor="background2" w:themeShade="80"/>
          <w:sz w:val="26"/>
          <w:szCs w:val="26"/>
        </w:rPr>
        <w:t xml:space="preserve"> sí se actualiza</w:t>
      </w:r>
      <w:r w:rsidRPr="007033E0">
        <w:rPr>
          <w:rFonts w:ascii="Calibri" w:hAnsi="Calibri"/>
          <w:bCs/>
          <w:iCs/>
          <w:color w:val="767171" w:themeColor="background2" w:themeShade="80"/>
          <w:sz w:val="26"/>
        </w:rPr>
        <w:t xml:space="preserve">, pues el justiciable </w:t>
      </w:r>
      <w:r w:rsidRPr="007033E0">
        <w:rPr>
          <w:rFonts w:ascii="Calibri" w:hAnsi="Calibri"/>
          <w:b/>
          <w:color w:val="767171" w:themeColor="background2" w:themeShade="80"/>
          <w:sz w:val="26"/>
          <w:u w:val="single"/>
        </w:rPr>
        <w:t>no promovió</w:t>
      </w:r>
      <w:r w:rsidRPr="000400CF">
        <w:rPr>
          <w:rFonts w:ascii="Calibri" w:hAnsi="Calibri"/>
          <w:b/>
          <w:color w:val="767171" w:themeColor="background2" w:themeShade="80"/>
          <w:sz w:val="26"/>
        </w:rPr>
        <w:t xml:space="preserve"> </w:t>
      </w:r>
      <w:r w:rsidRPr="007033E0">
        <w:rPr>
          <w:rFonts w:ascii="Calibri" w:hAnsi="Calibri"/>
          <w:color w:val="767171" w:themeColor="background2" w:themeShade="80"/>
          <w:sz w:val="26"/>
        </w:rPr>
        <w:t>el presente proceso dentro del término de Ley</w:t>
      </w:r>
      <w:r w:rsidRPr="007033E0">
        <w:rPr>
          <w:rFonts w:ascii="Calibri" w:hAnsi="Calibri"/>
          <w:bCs/>
          <w:iCs/>
          <w:color w:val="767171" w:themeColor="background2" w:themeShade="80"/>
          <w:sz w:val="26"/>
        </w:rPr>
        <w:t xml:space="preserve">, en base a lo siguiente: . . . . . . . . . . . . . . . . . . . . </w:t>
      </w:r>
    </w:p>
    <w:p w:rsidR="0084308C" w:rsidRPr="007033E0" w:rsidRDefault="0084308C" w:rsidP="0084308C">
      <w:pPr>
        <w:jc w:val="both"/>
        <w:rPr>
          <w:rFonts w:ascii="Calibri" w:hAnsi="Calibri"/>
          <w:bCs/>
          <w:iCs/>
          <w:color w:val="767171" w:themeColor="background2" w:themeShade="80"/>
          <w:sz w:val="26"/>
        </w:rPr>
      </w:pPr>
    </w:p>
    <w:p w:rsidR="0084308C" w:rsidRPr="007033E0" w:rsidRDefault="0084308C" w:rsidP="0084308C">
      <w:pPr>
        <w:pStyle w:val="Textoindependiente"/>
        <w:ind w:firstLine="708"/>
        <w:rPr>
          <w:rFonts w:ascii="Calibri" w:hAnsi="Calibri"/>
          <w:color w:val="767171" w:themeColor="background2" w:themeShade="80"/>
          <w:sz w:val="26"/>
        </w:rPr>
      </w:pPr>
      <w:r w:rsidRPr="007033E0">
        <w:rPr>
          <w:rFonts w:ascii="Calibri" w:hAnsi="Calibri"/>
          <w:color w:val="767171" w:themeColor="background2" w:themeShade="80"/>
          <w:sz w:val="26"/>
        </w:rPr>
        <w:t>El primer párrafo del artículo 263 del Código de Procedimiento y Justicia Administrativa para el Estado y los Municipios de Guanajuato es muy claro al precisar que: . . . . . . . . . . . . . . . . . . . . . . . . . . . . . . . . . . . . . . . . . . . . . . . . . . . . . . . . . .</w:t>
      </w:r>
    </w:p>
    <w:p w:rsidR="0084308C" w:rsidRPr="007033E0" w:rsidRDefault="0084308C" w:rsidP="0084308C">
      <w:pPr>
        <w:pStyle w:val="Textoindependiente"/>
        <w:ind w:firstLine="708"/>
        <w:rPr>
          <w:rFonts w:ascii="Calibri" w:hAnsi="Calibri"/>
          <w:color w:val="767171" w:themeColor="background2" w:themeShade="80"/>
          <w:sz w:val="26"/>
        </w:rPr>
      </w:pPr>
    </w:p>
    <w:p w:rsidR="0084308C" w:rsidRPr="00FC1AC5" w:rsidRDefault="0084308C" w:rsidP="0084308C">
      <w:pPr>
        <w:pStyle w:val="Textoindependiente"/>
        <w:ind w:firstLine="708"/>
        <w:rPr>
          <w:rFonts w:ascii="Calibri" w:hAnsi="Calibri"/>
          <w:i/>
          <w:color w:val="767171" w:themeColor="background2" w:themeShade="80"/>
          <w:sz w:val="26"/>
        </w:rPr>
      </w:pPr>
      <w:r w:rsidRPr="007033E0">
        <w:rPr>
          <w:rFonts w:ascii="Calibri" w:hAnsi="Calibri"/>
          <w:i/>
          <w:color w:val="767171" w:themeColor="background2" w:themeShade="80"/>
          <w:sz w:val="26"/>
        </w:rPr>
        <w:t>“La demanda deberá formularse por escrito y presentarse ante el Tribunal o Juzgado respectivo dentro de los treinta días siguientes a aquél en que haya surtido</w:t>
      </w:r>
      <w:r>
        <w:rPr>
          <w:rFonts w:ascii="Calibri" w:hAnsi="Calibri"/>
          <w:i/>
          <w:color w:val="767171" w:themeColor="background2" w:themeShade="80"/>
          <w:sz w:val="26"/>
        </w:rPr>
        <w:t xml:space="preserve"> </w:t>
      </w:r>
      <w:r w:rsidRPr="007033E0">
        <w:rPr>
          <w:rFonts w:ascii="Calibri" w:hAnsi="Calibri"/>
          <w:i/>
          <w:color w:val="767171" w:themeColor="background2" w:themeShade="80"/>
          <w:sz w:val="26"/>
        </w:rPr>
        <w:t>efectos la notificación del acto o resolución impugnado o a aquél en que se haya ostentado sabedor de su contenido o de su ejecución….”</w:t>
      </w:r>
      <w:r w:rsidRPr="007033E0">
        <w:rPr>
          <w:rFonts w:ascii="Calibri" w:hAnsi="Calibri"/>
          <w:color w:val="767171" w:themeColor="background2" w:themeShade="80"/>
          <w:sz w:val="26"/>
        </w:rPr>
        <w:t xml:space="preserve">. . . . . . . . . . . . . . . . . . . . . . </w:t>
      </w:r>
    </w:p>
    <w:p w:rsidR="0084308C" w:rsidRPr="007033E0" w:rsidRDefault="0084308C" w:rsidP="0084308C">
      <w:pPr>
        <w:pStyle w:val="Textoindependiente"/>
        <w:rPr>
          <w:rFonts w:ascii="Calibri" w:hAnsi="Calibri"/>
          <w:color w:val="767171" w:themeColor="background2" w:themeShade="80"/>
          <w:sz w:val="26"/>
        </w:rPr>
      </w:pPr>
    </w:p>
    <w:p w:rsidR="0084308C" w:rsidRPr="007033E0" w:rsidRDefault="0084308C" w:rsidP="0084308C">
      <w:pPr>
        <w:pStyle w:val="Textoindependiente"/>
        <w:ind w:firstLine="708"/>
        <w:rPr>
          <w:rFonts w:ascii="Calibri" w:hAnsi="Calibri"/>
          <w:color w:val="767171" w:themeColor="background2" w:themeShade="80"/>
          <w:sz w:val="26"/>
        </w:rPr>
      </w:pPr>
      <w:r w:rsidRPr="007033E0">
        <w:rPr>
          <w:rFonts w:ascii="Calibri" w:hAnsi="Calibri"/>
          <w:color w:val="767171" w:themeColor="background2" w:themeShade="80"/>
          <w:sz w:val="26"/>
        </w:rPr>
        <w:t xml:space="preserve">Lo anterior se traduce en que cuando al actor tenga conocimiento del acto que impugne, debe tenerse como notificado desde ese momento, según se desprende del criterio que se transcribe en algunos párrafos más adelante; -en este caso desde el día </w:t>
      </w:r>
      <w:r>
        <w:rPr>
          <w:rFonts w:ascii="Calibri" w:hAnsi="Calibri"/>
          <w:color w:val="767171" w:themeColor="background2" w:themeShade="80"/>
          <w:sz w:val="26"/>
        </w:rPr>
        <w:t>2</w:t>
      </w:r>
      <w:r w:rsidRPr="007033E0">
        <w:rPr>
          <w:rFonts w:ascii="Calibri" w:hAnsi="Calibri"/>
          <w:color w:val="767171" w:themeColor="background2" w:themeShade="80"/>
          <w:sz w:val="26"/>
        </w:rPr>
        <w:t xml:space="preserve">1 </w:t>
      </w:r>
      <w:r>
        <w:rPr>
          <w:rFonts w:ascii="Calibri" w:hAnsi="Calibri"/>
          <w:color w:val="767171" w:themeColor="background2" w:themeShade="80"/>
          <w:sz w:val="26"/>
        </w:rPr>
        <w:t>veintiuno</w:t>
      </w:r>
      <w:r w:rsidRPr="007033E0">
        <w:rPr>
          <w:rFonts w:ascii="Calibri" w:hAnsi="Calibri"/>
          <w:color w:val="767171" w:themeColor="background2" w:themeShade="80"/>
          <w:sz w:val="26"/>
        </w:rPr>
        <w:t xml:space="preserve"> de </w:t>
      </w:r>
      <w:r>
        <w:rPr>
          <w:rFonts w:ascii="Calibri" w:hAnsi="Calibri"/>
          <w:color w:val="767171" w:themeColor="background2" w:themeShade="80"/>
          <w:sz w:val="26"/>
        </w:rPr>
        <w:t>agosto</w:t>
      </w:r>
      <w:r w:rsidRPr="007033E0">
        <w:rPr>
          <w:rFonts w:ascii="Calibri" w:hAnsi="Calibri"/>
          <w:color w:val="767171" w:themeColor="background2" w:themeShade="80"/>
          <w:sz w:val="26"/>
        </w:rPr>
        <w:t xml:space="preserve"> del año 201</w:t>
      </w:r>
      <w:r>
        <w:rPr>
          <w:rFonts w:ascii="Calibri" w:hAnsi="Calibri"/>
          <w:color w:val="767171" w:themeColor="background2" w:themeShade="80"/>
          <w:sz w:val="26"/>
        </w:rPr>
        <w:t>7</w:t>
      </w:r>
      <w:r w:rsidRPr="007033E0">
        <w:rPr>
          <w:rFonts w:ascii="Calibri" w:hAnsi="Calibri"/>
          <w:color w:val="767171" w:themeColor="background2" w:themeShade="80"/>
          <w:sz w:val="26"/>
        </w:rPr>
        <w:t xml:space="preserve"> dos mil </w:t>
      </w:r>
      <w:r>
        <w:rPr>
          <w:rFonts w:ascii="Calibri" w:hAnsi="Calibri"/>
          <w:color w:val="767171" w:themeColor="background2" w:themeShade="80"/>
          <w:sz w:val="26"/>
        </w:rPr>
        <w:t>diecisiete</w:t>
      </w:r>
      <w:r w:rsidRPr="007033E0">
        <w:rPr>
          <w:rFonts w:ascii="Calibri" w:hAnsi="Calibri"/>
          <w:color w:val="767171" w:themeColor="background2" w:themeShade="80"/>
          <w:sz w:val="26"/>
        </w:rPr>
        <w:t xml:space="preserve">-, como se aprecia del propio escrito de demanda de la parte actora, (foja </w:t>
      </w:r>
      <w:r>
        <w:rPr>
          <w:rFonts w:ascii="Calibri" w:hAnsi="Calibri"/>
          <w:color w:val="767171" w:themeColor="background2" w:themeShade="80"/>
          <w:sz w:val="26"/>
        </w:rPr>
        <w:t>1 uno</w:t>
      </w:r>
      <w:r w:rsidRPr="007033E0">
        <w:rPr>
          <w:rFonts w:ascii="Calibri" w:hAnsi="Calibri"/>
          <w:color w:val="767171" w:themeColor="background2" w:themeShade="80"/>
          <w:sz w:val="26"/>
        </w:rPr>
        <w:t xml:space="preserve"> del escrito de demanda, en el punto </w:t>
      </w:r>
      <w:r>
        <w:rPr>
          <w:rFonts w:ascii="Calibri" w:hAnsi="Calibri"/>
          <w:color w:val="767171" w:themeColor="background2" w:themeShade="80"/>
          <w:sz w:val="26"/>
        </w:rPr>
        <w:t xml:space="preserve">número 1 uno del capítulo de hechos, en el que se señala: </w:t>
      </w:r>
      <w:r w:rsidRPr="00FC1AC5">
        <w:rPr>
          <w:rFonts w:ascii="Calibri" w:hAnsi="Calibri"/>
          <w:b/>
          <w:i/>
          <w:color w:val="767171" w:themeColor="background2" w:themeShade="80"/>
          <w:sz w:val="26"/>
        </w:rPr>
        <w:t>“</w:t>
      </w:r>
      <w:r>
        <w:rPr>
          <w:rFonts w:ascii="Calibri" w:hAnsi="Calibri"/>
          <w:b/>
          <w:i/>
          <w:color w:val="767171" w:themeColor="background2" w:themeShade="80"/>
          <w:sz w:val="26"/>
        </w:rPr>
        <w:t>La</w:t>
      </w:r>
      <w:r w:rsidRPr="00FC1AC5">
        <w:rPr>
          <w:rFonts w:ascii="Calibri" w:hAnsi="Calibri"/>
          <w:b/>
          <w:i/>
          <w:color w:val="767171" w:themeColor="background2" w:themeShade="80"/>
          <w:sz w:val="26"/>
        </w:rPr>
        <w:t xml:space="preserve"> tarde del veintiuno de agosto….”</w:t>
      </w:r>
      <w:r w:rsidRPr="007033E0">
        <w:rPr>
          <w:rFonts w:ascii="Calibri" w:hAnsi="Calibri"/>
          <w:color w:val="767171" w:themeColor="background2" w:themeShade="80"/>
          <w:sz w:val="26"/>
        </w:rPr>
        <w:t xml:space="preserve">, </w:t>
      </w:r>
      <w:r>
        <w:rPr>
          <w:rFonts w:ascii="Calibri" w:hAnsi="Calibri"/>
          <w:color w:val="767171" w:themeColor="background2" w:themeShade="80"/>
          <w:sz w:val="26"/>
        </w:rPr>
        <w:t>teniendo conocimiento del acto impugnado</w:t>
      </w:r>
      <w:r w:rsidRPr="007033E0">
        <w:rPr>
          <w:rFonts w:ascii="Calibri" w:hAnsi="Calibri"/>
          <w:color w:val="767171" w:themeColor="background2" w:themeShade="80"/>
          <w:sz w:val="26"/>
        </w:rPr>
        <w:t xml:space="preserve">, el día antes señalado; de ahí que para computar el plazo para presentar la demanda se debe partir del supuesto de que los 30 treinta días del plazo otorgado, deben computarse a partir del día siguiente a aquél en que haya surtido sus efectos la notificación del acto o resolución que se impugna o del que se haya ostentado como conocedor el impetrante; el cual ha sido el criterio adoptado por el Tribunal de Justicia Administrativa del Estado, como se ha señalado. . . . . . . . . . . . . . . . . . . . . . . . . . . . .  . . . . . . . . . . . . . . . . . . . . . . . . . . . . . . . . </w:t>
      </w:r>
    </w:p>
    <w:p w:rsidR="0084308C" w:rsidRPr="007033E0" w:rsidRDefault="0084308C" w:rsidP="0084308C">
      <w:pPr>
        <w:jc w:val="both"/>
        <w:rPr>
          <w:rFonts w:ascii="Calibri" w:hAnsi="Calibri"/>
          <w:color w:val="767171" w:themeColor="background2" w:themeShade="80"/>
          <w:sz w:val="26"/>
        </w:rPr>
      </w:pPr>
    </w:p>
    <w:p w:rsidR="0084308C" w:rsidRPr="007033E0" w:rsidRDefault="0084308C" w:rsidP="0084308C">
      <w:pPr>
        <w:ind w:firstLine="708"/>
        <w:jc w:val="both"/>
        <w:rPr>
          <w:rFonts w:ascii="Calibri" w:hAnsi="Calibri"/>
          <w:color w:val="767171" w:themeColor="background2" w:themeShade="80"/>
          <w:sz w:val="26"/>
        </w:rPr>
      </w:pPr>
      <w:r w:rsidRPr="007033E0">
        <w:rPr>
          <w:rFonts w:ascii="Calibri" w:hAnsi="Calibri"/>
          <w:color w:val="767171" w:themeColor="background2" w:themeShade="80"/>
          <w:sz w:val="26"/>
        </w:rPr>
        <w:t xml:space="preserve">Ahora bien, el propio Código de Procedimiento y Justicia Administrativa antes mencionado, en la fracción IV de su artículo 261, consigna que el consentimiento tácito del acto o resolución impugnado, se da únicamente cuando </w:t>
      </w:r>
      <w:r w:rsidRPr="007033E0">
        <w:rPr>
          <w:rFonts w:ascii="Calibri" w:hAnsi="Calibri"/>
          <w:b/>
          <w:i/>
          <w:color w:val="767171" w:themeColor="background2" w:themeShade="80"/>
          <w:sz w:val="26"/>
        </w:rPr>
        <w:t>no se haya promovido el proceso administrativo</w:t>
      </w:r>
      <w:r w:rsidRPr="007033E0">
        <w:rPr>
          <w:rFonts w:ascii="Calibri" w:hAnsi="Calibri"/>
          <w:color w:val="767171" w:themeColor="background2" w:themeShade="80"/>
          <w:sz w:val="26"/>
        </w:rPr>
        <w:t xml:space="preserve"> ante el Tribunal o los Juzgados, </w:t>
      </w:r>
      <w:r w:rsidRPr="007033E0">
        <w:rPr>
          <w:rFonts w:ascii="Calibri" w:hAnsi="Calibri"/>
          <w:b/>
          <w:i/>
          <w:color w:val="767171" w:themeColor="background2" w:themeShade="80"/>
          <w:sz w:val="26"/>
        </w:rPr>
        <w:t>en los plazos que señala éste mismo Código</w:t>
      </w:r>
      <w:r w:rsidRPr="007033E0">
        <w:rPr>
          <w:rFonts w:ascii="Calibri" w:hAnsi="Calibri"/>
          <w:color w:val="767171" w:themeColor="background2" w:themeShade="80"/>
          <w:sz w:val="26"/>
        </w:rPr>
        <w:t xml:space="preserve">. . . . . . . . . . . . . . . . . . . . . . . . . . . . . . . . </w:t>
      </w:r>
    </w:p>
    <w:p w:rsidR="0084308C" w:rsidRPr="007033E0" w:rsidRDefault="0084308C" w:rsidP="0084308C">
      <w:pPr>
        <w:ind w:firstLine="708"/>
        <w:jc w:val="both"/>
        <w:rPr>
          <w:rFonts w:ascii="Calibri" w:hAnsi="Calibri"/>
          <w:color w:val="767171" w:themeColor="background2" w:themeShade="80"/>
          <w:sz w:val="26"/>
        </w:rPr>
      </w:pPr>
    </w:p>
    <w:p w:rsidR="0084308C" w:rsidRPr="007033E0" w:rsidRDefault="0084308C" w:rsidP="0084308C">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rPr>
        <w:t>Señalando, entonces, dicho precepto que existen 2 dos supuestos: el primero, cuando hay notificación; y el segundo, cuando no habiendo una notificación propiamente dicha, el actor tiene conocimiento del contenido del acto en determinada fecha; siendo claro que, en el caso del acto impugnado</w:t>
      </w:r>
      <w:r>
        <w:rPr>
          <w:rFonts w:ascii="Calibri" w:hAnsi="Calibri"/>
          <w:color w:val="767171" w:themeColor="background2" w:themeShade="80"/>
          <w:sz w:val="26"/>
        </w:rPr>
        <w:t xml:space="preserve"> en este proceso</w:t>
      </w:r>
      <w:r w:rsidRPr="007033E0">
        <w:rPr>
          <w:rFonts w:ascii="Calibri" w:hAnsi="Calibri"/>
          <w:color w:val="767171" w:themeColor="background2" w:themeShade="80"/>
          <w:sz w:val="26"/>
        </w:rPr>
        <w:t xml:space="preserve">, la parte actora fue conocedora </w:t>
      </w:r>
      <w:r>
        <w:rPr>
          <w:rFonts w:ascii="Calibri" w:hAnsi="Calibri"/>
          <w:color w:val="767171" w:themeColor="background2" w:themeShade="80"/>
          <w:sz w:val="26"/>
        </w:rPr>
        <w:t>del mismo, el día 2</w:t>
      </w:r>
      <w:r w:rsidRPr="007033E0">
        <w:rPr>
          <w:rFonts w:ascii="Calibri" w:hAnsi="Calibri"/>
          <w:color w:val="767171" w:themeColor="background2" w:themeShade="80"/>
          <w:sz w:val="26"/>
        </w:rPr>
        <w:t xml:space="preserve">1 </w:t>
      </w:r>
      <w:r>
        <w:rPr>
          <w:rFonts w:ascii="Calibri" w:hAnsi="Calibri"/>
          <w:color w:val="767171" w:themeColor="background2" w:themeShade="80"/>
          <w:sz w:val="26"/>
        </w:rPr>
        <w:t>veintiuno</w:t>
      </w:r>
      <w:r w:rsidRPr="007033E0">
        <w:rPr>
          <w:rFonts w:ascii="Calibri" w:hAnsi="Calibri"/>
          <w:color w:val="767171" w:themeColor="background2" w:themeShade="80"/>
          <w:sz w:val="26"/>
        </w:rPr>
        <w:t xml:space="preserve"> de </w:t>
      </w:r>
      <w:r>
        <w:rPr>
          <w:rFonts w:ascii="Calibri" w:hAnsi="Calibri"/>
          <w:color w:val="767171" w:themeColor="background2" w:themeShade="80"/>
          <w:sz w:val="26"/>
        </w:rPr>
        <w:t>agosto</w:t>
      </w:r>
      <w:r w:rsidRPr="007033E0">
        <w:rPr>
          <w:rFonts w:ascii="Calibri" w:hAnsi="Calibri"/>
          <w:color w:val="767171" w:themeColor="background2" w:themeShade="80"/>
          <w:sz w:val="26"/>
        </w:rPr>
        <w:t xml:space="preserve"> del año 201</w:t>
      </w:r>
      <w:r>
        <w:rPr>
          <w:rFonts w:ascii="Calibri" w:hAnsi="Calibri"/>
          <w:color w:val="767171" w:themeColor="background2" w:themeShade="80"/>
          <w:sz w:val="26"/>
        </w:rPr>
        <w:t>7</w:t>
      </w:r>
      <w:r w:rsidRPr="007033E0">
        <w:rPr>
          <w:rFonts w:ascii="Calibri" w:hAnsi="Calibri"/>
          <w:color w:val="767171" w:themeColor="background2" w:themeShade="80"/>
          <w:sz w:val="26"/>
        </w:rPr>
        <w:t xml:space="preserve"> dos mil </w:t>
      </w:r>
      <w:r>
        <w:rPr>
          <w:rFonts w:ascii="Calibri" w:hAnsi="Calibri"/>
          <w:color w:val="767171" w:themeColor="background2" w:themeShade="80"/>
          <w:sz w:val="26"/>
        </w:rPr>
        <w:t>diecisiete</w:t>
      </w:r>
      <w:r w:rsidRPr="007033E0">
        <w:rPr>
          <w:rFonts w:ascii="Calibri" w:hAnsi="Calibri"/>
          <w:color w:val="767171" w:themeColor="background2" w:themeShade="80"/>
          <w:sz w:val="26"/>
        </w:rPr>
        <w:t>.</w:t>
      </w:r>
      <w:r>
        <w:rPr>
          <w:rFonts w:ascii="Calibri" w:hAnsi="Calibri"/>
          <w:color w:val="767171" w:themeColor="background2" w:themeShade="80"/>
          <w:sz w:val="26"/>
        </w:rPr>
        <w:t xml:space="preserve"> . . . . . . . . . . . . . . . . . . . . . . . . . . . . . . . . . . . . . . . . . . </w:t>
      </w:r>
    </w:p>
    <w:p w:rsidR="0084308C" w:rsidRPr="007033E0" w:rsidRDefault="0084308C" w:rsidP="0084308C">
      <w:pPr>
        <w:ind w:firstLine="708"/>
        <w:jc w:val="both"/>
        <w:rPr>
          <w:rFonts w:ascii="Calibri" w:hAnsi="Calibri"/>
          <w:color w:val="767171" w:themeColor="background2" w:themeShade="80"/>
          <w:sz w:val="26"/>
        </w:rPr>
      </w:pPr>
    </w:p>
    <w:p w:rsidR="0084308C" w:rsidRPr="007033E0" w:rsidRDefault="0084308C" w:rsidP="0084308C">
      <w:pPr>
        <w:ind w:firstLine="708"/>
        <w:jc w:val="both"/>
        <w:rPr>
          <w:rFonts w:ascii="Calibri" w:hAnsi="Calibri"/>
          <w:color w:val="767171" w:themeColor="background2" w:themeShade="80"/>
          <w:sz w:val="26"/>
        </w:rPr>
      </w:pPr>
      <w:r w:rsidRPr="007033E0">
        <w:rPr>
          <w:rFonts w:ascii="Calibri" w:hAnsi="Calibri"/>
          <w:color w:val="767171" w:themeColor="background2" w:themeShade="80"/>
          <w:sz w:val="26"/>
        </w:rPr>
        <w:t xml:space="preserve">Así las cosas, al haber presentado la parte actora su demanda el día </w:t>
      </w:r>
      <w:r>
        <w:rPr>
          <w:rFonts w:ascii="Calibri" w:hAnsi="Calibri"/>
          <w:color w:val="767171" w:themeColor="background2" w:themeShade="80"/>
          <w:sz w:val="26"/>
        </w:rPr>
        <w:t>4 cuatro</w:t>
      </w:r>
      <w:r w:rsidRPr="007033E0">
        <w:rPr>
          <w:rFonts w:ascii="Calibri" w:hAnsi="Calibri"/>
          <w:color w:val="767171" w:themeColor="background2" w:themeShade="80"/>
          <w:sz w:val="26"/>
        </w:rPr>
        <w:t xml:space="preserve"> de </w:t>
      </w:r>
      <w:r>
        <w:rPr>
          <w:rFonts w:ascii="Calibri" w:hAnsi="Calibri"/>
          <w:color w:val="767171" w:themeColor="background2" w:themeShade="80"/>
          <w:sz w:val="26"/>
        </w:rPr>
        <w:t xml:space="preserve">octubre de ese mismo </w:t>
      </w:r>
      <w:r w:rsidRPr="007033E0">
        <w:rPr>
          <w:rFonts w:ascii="Calibri" w:hAnsi="Calibri"/>
          <w:color w:val="767171" w:themeColor="background2" w:themeShade="80"/>
          <w:sz w:val="26"/>
        </w:rPr>
        <w:t xml:space="preserve">año, resulta </w:t>
      </w:r>
      <w:r w:rsidRPr="007033E0">
        <w:rPr>
          <w:rFonts w:ascii="Calibri" w:hAnsi="Calibri"/>
          <w:b/>
          <w:color w:val="767171" w:themeColor="background2" w:themeShade="80"/>
          <w:sz w:val="26"/>
        </w:rPr>
        <w:t>extemporánea</w:t>
      </w:r>
      <w:r w:rsidRPr="007033E0">
        <w:rPr>
          <w:rFonts w:ascii="Calibri" w:hAnsi="Calibri"/>
          <w:color w:val="767171" w:themeColor="background2" w:themeShade="80"/>
          <w:sz w:val="26"/>
        </w:rPr>
        <w:t xml:space="preserve"> la promoción del presente proceso administrativo; toda vez que si surtió efectos la notificación el día </w:t>
      </w:r>
      <w:r>
        <w:rPr>
          <w:rFonts w:ascii="Calibri" w:hAnsi="Calibri"/>
          <w:color w:val="767171" w:themeColor="background2" w:themeShade="80"/>
          <w:sz w:val="26"/>
        </w:rPr>
        <w:t>22</w:t>
      </w:r>
      <w:r w:rsidRPr="007033E0">
        <w:rPr>
          <w:rFonts w:ascii="Calibri" w:hAnsi="Calibri"/>
          <w:color w:val="767171" w:themeColor="background2" w:themeShade="80"/>
          <w:sz w:val="26"/>
        </w:rPr>
        <w:t xml:space="preserve"> </w:t>
      </w:r>
      <w:r>
        <w:rPr>
          <w:rFonts w:ascii="Calibri" w:hAnsi="Calibri"/>
          <w:color w:val="767171" w:themeColor="background2" w:themeShade="80"/>
          <w:sz w:val="26"/>
        </w:rPr>
        <w:t xml:space="preserve">veintidós de agosto </w:t>
      </w:r>
      <w:r w:rsidRPr="007033E0">
        <w:rPr>
          <w:rFonts w:ascii="Calibri" w:hAnsi="Calibri"/>
          <w:color w:val="767171" w:themeColor="background2" w:themeShade="80"/>
          <w:sz w:val="26"/>
        </w:rPr>
        <w:t xml:space="preserve">del </w:t>
      </w:r>
      <w:r>
        <w:rPr>
          <w:rFonts w:ascii="Calibri" w:hAnsi="Calibri"/>
          <w:color w:val="767171" w:themeColor="background2" w:themeShade="80"/>
          <w:sz w:val="26"/>
        </w:rPr>
        <w:t>año pasado</w:t>
      </w:r>
      <w:r w:rsidRPr="007033E0">
        <w:rPr>
          <w:rFonts w:ascii="Calibri" w:hAnsi="Calibri"/>
          <w:color w:val="767171" w:themeColor="background2" w:themeShade="80"/>
          <w:sz w:val="26"/>
        </w:rPr>
        <w:t>, el término para promover el proceso inició al día hábil siguiente, esto es el 2</w:t>
      </w:r>
      <w:r>
        <w:rPr>
          <w:rFonts w:ascii="Calibri" w:hAnsi="Calibri"/>
          <w:color w:val="767171" w:themeColor="background2" w:themeShade="80"/>
          <w:sz w:val="26"/>
        </w:rPr>
        <w:t>3</w:t>
      </w:r>
      <w:r w:rsidRPr="007033E0">
        <w:rPr>
          <w:rFonts w:ascii="Calibri" w:hAnsi="Calibri"/>
          <w:color w:val="767171" w:themeColor="background2" w:themeShade="80"/>
          <w:sz w:val="26"/>
        </w:rPr>
        <w:t xml:space="preserve"> veinti</w:t>
      </w:r>
      <w:r>
        <w:rPr>
          <w:rFonts w:ascii="Calibri" w:hAnsi="Calibri"/>
          <w:color w:val="767171" w:themeColor="background2" w:themeShade="80"/>
          <w:sz w:val="26"/>
        </w:rPr>
        <w:t>trés</w:t>
      </w:r>
      <w:r w:rsidRPr="007033E0">
        <w:rPr>
          <w:rFonts w:ascii="Calibri" w:hAnsi="Calibri"/>
          <w:color w:val="767171" w:themeColor="background2" w:themeShade="80"/>
          <w:sz w:val="26"/>
        </w:rPr>
        <w:t xml:space="preserve"> de </w:t>
      </w:r>
      <w:r>
        <w:rPr>
          <w:rFonts w:ascii="Calibri" w:hAnsi="Calibri"/>
          <w:color w:val="767171" w:themeColor="background2" w:themeShade="80"/>
          <w:sz w:val="26"/>
        </w:rPr>
        <w:t>agosto del 2017 dos mil diecisiete</w:t>
      </w:r>
      <w:r w:rsidRPr="007033E0">
        <w:rPr>
          <w:rFonts w:ascii="Calibri" w:hAnsi="Calibri"/>
          <w:color w:val="767171" w:themeColor="background2" w:themeShade="80"/>
          <w:sz w:val="26"/>
        </w:rPr>
        <w:t xml:space="preserve">, </w:t>
      </w:r>
      <w:r w:rsidRPr="007033E0">
        <w:rPr>
          <w:rFonts w:ascii="Calibri" w:hAnsi="Calibri"/>
          <w:b/>
          <w:color w:val="767171" w:themeColor="background2" w:themeShade="80"/>
          <w:sz w:val="26"/>
        </w:rPr>
        <w:t xml:space="preserve">para concluir el </w:t>
      </w:r>
      <w:r>
        <w:rPr>
          <w:rFonts w:ascii="Calibri" w:hAnsi="Calibri"/>
          <w:b/>
          <w:color w:val="767171" w:themeColor="background2" w:themeShade="80"/>
          <w:sz w:val="26"/>
        </w:rPr>
        <w:t xml:space="preserve">3 </w:t>
      </w:r>
      <w:r w:rsidRPr="00FB79E5">
        <w:rPr>
          <w:rFonts w:ascii="Calibri" w:hAnsi="Calibri"/>
          <w:color w:val="767171" w:themeColor="background2" w:themeShade="80"/>
          <w:sz w:val="26"/>
        </w:rPr>
        <w:t>tres de</w:t>
      </w:r>
      <w:r>
        <w:rPr>
          <w:rFonts w:ascii="Calibri" w:hAnsi="Calibri"/>
          <w:b/>
          <w:color w:val="767171" w:themeColor="background2" w:themeShade="80"/>
          <w:sz w:val="26"/>
        </w:rPr>
        <w:t xml:space="preserve"> octubre </w:t>
      </w:r>
      <w:r w:rsidRPr="00FB79E5">
        <w:rPr>
          <w:rFonts w:ascii="Calibri" w:hAnsi="Calibri"/>
          <w:color w:val="767171" w:themeColor="background2" w:themeShade="80"/>
          <w:sz w:val="26"/>
        </w:rPr>
        <w:t>de ese mismo año</w:t>
      </w:r>
      <w:r w:rsidRPr="007033E0">
        <w:rPr>
          <w:rFonts w:ascii="Calibri" w:hAnsi="Calibri"/>
          <w:color w:val="767171" w:themeColor="background2" w:themeShade="80"/>
          <w:sz w:val="26"/>
        </w:rPr>
        <w:t>; conforme al siguiente cómputo: . . . . . . . . . . .</w:t>
      </w:r>
      <w:r>
        <w:rPr>
          <w:rFonts w:ascii="Calibri" w:hAnsi="Calibri"/>
          <w:color w:val="767171" w:themeColor="background2" w:themeShade="80"/>
          <w:sz w:val="26"/>
        </w:rPr>
        <w:t xml:space="preserve"> . . . . . . . </w:t>
      </w:r>
    </w:p>
    <w:p w:rsidR="0084308C" w:rsidRPr="007033E0" w:rsidRDefault="0084308C" w:rsidP="0084308C">
      <w:pPr>
        <w:jc w:val="both"/>
        <w:rPr>
          <w:rFonts w:ascii="Calibri" w:hAnsi="Calibri"/>
          <w:color w:val="767171" w:themeColor="background2" w:themeShade="80"/>
          <w:sz w:val="26"/>
        </w:rPr>
      </w:pPr>
    </w:p>
    <w:p w:rsidR="0084308C" w:rsidRPr="007033E0" w:rsidRDefault="0084308C" w:rsidP="0084308C">
      <w:pPr>
        <w:pStyle w:val="Normal0"/>
        <w:ind w:firstLine="708"/>
        <w:jc w:val="both"/>
        <w:rPr>
          <w:rFonts w:ascii="Calibri" w:hAnsi="Calibri"/>
          <w:color w:val="767171" w:themeColor="background2" w:themeShade="80"/>
          <w:sz w:val="26"/>
          <w:szCs w:val="26"/>
        </w:rPr>
      </w:pPr>
      <w:r w:rsidRPr="007033E0">
        <w:rPr>
          <w:rFonts w:ascii="Calibri" w:hAnsi="Calibri"/>
          <w:b/>
          <w:color w:val="767171" w:themeColor="background2" w:themeShade="80"/>
          <w:sz w:val="26"/>
        </w:rPr>
        <w:t>a).-</w:t>
      </w:r>
      <w:r w:rsidRPr="007033E0">
        <w:rPr>
          <w:rFonts w:ascii="Calibri" w:hAnsi="Calibri"/>
          <w:color w:val="767171" w:themeColor="background2" w:themeShade="80"/>
          <w:sz w:val="26"/>
        </w:rPr>
        <w:t xml:space="preserve"> Como </w:t>
      </w:r>
      <w:r w:rsidRPr="007033E0">
        <w:rPr>
          <w:rFonts w:ascii="Calibri" w:hAnsi="Calibri"/>
          <w:b/>
          <w:color w:val="767171" w:themeColor="background2" w:themeShade="80"/>
          <w:sz w:val="26"/>
        </w:rPr>
        <w:t>días hábiles</w:t>
      </w:r>
      <w:r w:rsidRPr="007033E0">
        <w:rPr>
          <w:rFonts w:ascii="Calibri" w:hAnsi="Calibri"/>
          <w:color w:val="767171" w:themeColor="background2" w:themeShade="80"/>
          <w:sz w:val="26"/>
        </w:rPr>
        <w:t xml:space="preserve"> se consideran </w:t>
      </w:r>
      <w:r>
        <w:rPr>
          <w:rFonts w:ascii="Calibri" w:hAnsi="Calibri"/>
          <w:color w:val="767171" w:themeColor="background2" w:themeShade="80"/>
          <w:sz w:val="26"/>
        </w:rPr>
        <w:t>el</w:t>
      </w:r>
      <w:r w:rsidRPr="007033E0">
        <w:rPr>
          <w:rFonts w:ascii="Calibri" w:hAnsi="Calibri"/>
          <w:color w:val="767171" w:themeColor="background2" w:themeShade="80"/>
          <w:sz w:val="26"/>
        </w:rPr>
        <w:t xml:space="preserve"> miércoles 2</w:t>
      </w:r>
      <w:r>
        <w:rPr>
          <w:rFonts w:ascii="Calibri" w:hAnsi="Calibri"/>
          <w:color w:val="767171" w:themeColor="background2" w:themeShade="80"/>
          <w:sz w:val="26"/>
        </w:rPr>
        <w:t xml:space="preserve">3 veintitrés, jueves  24 </w:t>
      </w:r>
      <w:r w:rsidRPr="007033E0">
        <w:rPr>
          <w:rFonts w:ascii="Calibri" w:hAnsi="Calibri"/>
          <w:color w:val="767171" w:themeColor="background2" w:themeShade="80"/>
          <w:sz w:val="26"/>
        </w:rPr>
        <w:t xml:space="preserve">veinticuatro, </w:t>
      </w:r>
      <w:r>
        <w:rPr>
          <w:rFonts w:ascii="Calibri" w:hAnsi="Calibri"/>
          <w:color w:val="767171" w:themeColor="background2" w:themeShade="80"/>
          <w:sz w:val="26"/>
        </w:rPr>
        <w:t>viernes</w:t>
      </w:r>
      <w:r w:rsidRPr="007033E0">
        <w:rPr>
          <w:rFonts w:ascii="Calibri" w:hAnsi="Calibri"/>
          <w:color w:val="767171" w:themeColor="background2" w:themeShade="80"/>
          <w:sz w:val="26"/>
        </w:rPr>
        <w:t xml:space="preserve"> 25 veinticinco, </w:t>
      </w:r>
      <w:r>
        <w:rPr>
          <w:rFonts w:ascii="Calibri" w:hAnsi="Calibri"/>
          <w:color w:val="767171" w:themeColor="background2" w:themeShade="80"/>
          <w:sz w:val="26"/>
        </w:rPr>
        <w:t>l</w:t>
      </w:r>
      <w:r w:rsidRPr="007033E0">
        <w:rPr>
          <w:rFonts w:ascii="Calibri" w:hAnsi="Calibri"/>
          <w:color w:val="767171" w:themeColor="background2" w:themeShade="80"/>
          <w:sz w:val="26"/>
        </w:rPr>
        <w:t xml:space="preserve">unes </w:t>
      </w:r>
      <w:r>
        <w:rPr>
          <w:rFonts w:ascii="Calibri" w:hAnsi="Calibri"/>
          <w:color w:val="767171" w:themeColor="background2" w:themeShade="80"/>
          <w:sz w:val="26"/>
        </w:rPr>
        <w:t xml:space="preserve">28 veintiocho, martes </w:t>
      </w:r>
      <w:r w:rsidRPr="007033E0">
        <w:rPr>
          <w:rFonts w:ascii="Calibri" w:hAnsi="Calibri"/>
          <w:color w:val="767171" w:themeColor="background2" w:themeShade="80"/>
          <w:sz w:val="26"/>
        </w:rPr>
        <w:t xml:space="preserve">29 veintinueve, </w:t>
      </w:r>
      <w:r>
        <w:rPr>
          <w:rFonts w:ascii="Calibri" w:hAnsi="Calibri"/>
          <w:color w:val="767171" w:themeColor="background2" w:themeShade="80"/>
          <w:sz w:val="26"/>
        </w:rPr>
        <w:t xml:space="preserve">miércoles 30 treinta y jueves 31 treinta y uno de agosto; así como el viernes 1 uno, lunes 4 cuatro, martes 5 cinco, </w:t>
      </w:r>
      <w:r w:rsidRPr="007033E0">
        <w:rPr>
          <w:rFonts w:ascii="Calibri" w:hAnsi="Calibri"/>
          <w:color w:val="767171" w:themeColor="background2" w:themeShade="80"/>
          <w:sz w:val="26"/>
        </w:rPr>
        <w:t xml:space="preserve">miércoles </w:t>
      </w:r>
      <w:r>
        <w:rPr>
          <w:rFonts w:ascii="Calibri" w:hAnsi="Calibri"/>
          <w:color w:val="767171" w:themeColor="background2" w:themeShade="80"/>
          <w:sz w:val="26"/>
        </w:rPr>
        <w:t xml:space="preserve">6 seis, jueves 7 siete, viernes 8 ocho, lunes 11 once, martes 12 doce, miércoles 13 trece, jueves 14 catorce, viernes 15, lunes 18 dieciocho, martes 19 diecinueve, miércoles 20 veinte, jueves 21 veintiuno, viernes 22 veintidós, lunes 25 veinticinco, martes 26 veintiséis, miércoles 27 veintisiete, jueves 28 veintiocho y viernes 29 veintinueve de septiembre; y, el lunes 2 dos y martes 3 tres de octubre del año, todos del  próximo pasado. </w:t>
      </w:r>
      <w:r w:rsidRPr="007033E0">
        <w:rPr>
          <w:rFonts w:ascii="Calibri" w:hAnsi="Calibri"/>
          <w:color w:val="767171" w:themeColor="background2" w:themeShade="80"/>
          <w:sz w:val="26"/>
        </w:rPr>
        <w:t>.</w:t>
      </w:r>
      <w:r>
        <w:rPr>
          <w:rFonts w:ascii="Calibri" w:hAnsi="Calibri"/>
          <w:color w:val="767171" w:themeColor="background2" w:themeShade="80"/>
          <w:sz w:val="26"/>
        </w:rPr>
        <w:t xml:space="preserve"> . .</w:t>
      </w:r>
      <w:r w:rsidRPr="007033E0">
        <w:rPr>
          <w:rFonts w:ascii="Calibri" w:hAnsi="Calibri"/>
          <w:color w:val="767171" w:themeColor="background2" w:themeShade="80"/>
          <w:sz w:val="26"/>
        </w:rPr>
        <w:t xml:space="preserve"> </w:t>
      </w:r>
      <w:r w:rsidRPr="007033E0">
        <w:rPr>
          <w:rFonts w:ascii="Calibri" w:hAnsi="Calibri"/>
          <w:color w:val="767171" w:themeColor="background2" w:themeShade="80"/>
          <w:sz w:val="26"/>
          <w:szCs w:val="26"/>
        </w:rPr>
        <w:t>. . . . . . . . . . . . . . . . . . . . . . . . . . . . . . . . . . . . . . . . . . . . . . . . . . . .</w:t>
      </w:r>
    </w:p>
    <w:p w:rsidR="0084308C" w:rsidRPr="007033E0" w:rsidRDefault="0084308C" w:rsidP="0084308C">
      <w:pPr>
        <w:jc w:val="both"/>
        <w:rPr>
          <w:rFonts w:ascii="Calibri" w:hAnsi="Calibri"/>
          <w:color w:val="767171" w:themeColor="background2" w:themeShade="80"/>
          <w:sz w:val="26"/>
        </w:rPr>
      </w:pPr>
    </w:p>
    <w:p w:rsidR="0084308C" w:rsidRPr="007033E0" w:rsidRDefault="0084308C" w:rsidP="0084308C">
      <w:pPr>
        <w:ind w:firstLine="708"/>
        <w:jc w:val="both"/>
        <w:rPr>
          <w:rFonts w:ascii="Calibri" w:hAnsi="Calibri"/>
          <w:color w:val="767171" w:themeColor="background2" w:themeShade="80"/>
          <w:sz w:val="26"/>
          <w:szCs w:val="26"/>
        </w:rPr>
      </w:pPr>
      <w:r w:rsidRPr="007033E0">
        <w:rPr>
          <w:rFonts w:ascii="Calibri" w:hAnsi="Calibri"/>
          <w:b/>
          <w:color w:val="767171" w:themeColor="background2" w:themeShade="80"/>
          <w:sz w:val="26"/>
        </w:rPr>
        <w:t>b).-</w:t>
      </w:r>
      <w:r w:rsidRPr="007033E0">
        <w:rPr>
          <w:rFonts w:ascii="Calibri" w:hAnsi="Calibri"/>
          <w:color w:val="767171" w:themeColor="background2" w:themeShade="80"/>
          <w:sz w:val="26"/>
        </w:rPr>
        <w:t xml:space="preserve"> Como </w:t>
      </w:r>
      <w:r w:rsidRPr="007033E0">
        <w:rPr>
          <w:rFonts w:ascii="Calibri" w:hAnsi="Calibri"/>
          <w:b/>
          <w:color w:val="767171" w:themeColor="background2" w:themeShade="80"/>
          <w:sz w:val="26"/>
        </w:rPr>
        <w:t>días inhábiles</w:t>
      </w:r>
      <w:r w:rsidRPr="007033E0">
        <w:rPr>
          <w:rFonts w:ascii="Calibri" w:hAnsi="Calibri"/>
          <w:color w:val="767171" w:themeColor="background2" w:themeShade="80"/>
          <w:sz w:val="26"/>
        </w:rPr>
        <w:t xml:space="preserve"> por ser sábados y domingos, los días: sábado 2</w:t>
      </w:r>
      <w:r>
        <w:rPr>
          <w:rFonts w:ascii="Calibri" w:hAnsi="Calibri"/>
          <w:color w:val="767171" w:themeColor="background2" w:themeShade="80"/>
          <w:sz w:val="26"/>
        </w:rPr>
        <w:t xml:space="preserve">6 veintiséis y </w:t>
      </w:r>
      <w:r w:rsidRPr="007033E0">
        <w:rPr>
          <w:rFonts w:ascii="Calibri" w:hAnsi="Calibri"/>
          <w:color w:val="767171" w:themeColor="background2" w:themeShade="80"/>
          <w:sz w:val="26"/>
        </w:rPr>
        <w:t>domingo 2</w:t>
      </w:r>
      <w:r>
        <w:rPr>
          <w:rFonts w:ascii="Calibri" w:hAnsi="Calibri"/>
          <w:color w:val="767171" w:themeColor="background2" w:themeShade="80"/>
          <w:sz w:val="26"/>
        </w:rPr>
        <w:t>7 veintisiete de agosto</w:t>
      </w:r>
      <w:r w:rsidRPr="007033E0">
        <w:rPr>
          <w:rFonts w:ascii="Calibri" w:hAnsi="Calibri"/>
          <w:color w:val="767171" w:themeColor="background2" w:themeShade="80"/>
          <w:sz w:val="26"/>
        </w:rPr>
        <w:t xml:space="preserve">; sábado </w:t>
      </w:r>
      <w:r>
        <w:rPr>
          <w:rFonts w:ascii="Calibri" w:hAnsi="Calibri"/>
          <w:color w:val="767171" w:themeColor="background2" w:themeShade="80"/>
          <w:sz w:val="26"/>
        </w:rPr>
        <w:t xml:space="preserve">2 dos, domingo 3 tres, sábado 9 nueve y domingo 10 diez; sábado 16 dieciséis y domingo 17 diecisiete; sábado 23 veintitrés y </w:t>
      </w:r>
      <w:r w:rsidRPr="000A5FE4">
        <w:rPr>
          <w:rFonts w:ascii="Calibri" w:hAnsi="Calibri"/>
          <w:sz w:val="26"/>
        </w:rPr>
        <w:t>domingo 24 veinticuatro</w:t>
      </w:r>
      <w:r>
        <w:rPr>
          <w:rFonts w:ascii="Calibri" w:hAnsi="Calibri"/>
          <w:color w:val="FF0000"/>
          <w:sz w:val="26"/>
        </w:rPr>
        <w:t xml:space="preserve">; </w:t>
      </w:r>
      <w:r>
        <w:rPr>
          <w:rFonts w:ascii="Calibri" w:hAnsi="Calibri"/>
          <w:color w:val="767171" w:themeColor="background2" w:themeShade="80"/>
          <w:sz w:val="26"/>
        </w:rPr>
        <w:t xml:space="preserve">sábado 30 treinta de septiembre; y, por último, el domingo 1 uno de octubre del año 2017 dos mil diecisiete. </w:t>
      </w:r>
      <w:r w:rsidRPr="007033E0">
        <w:rPr>
          <w:rFonts w:ascii="Calibri" w:hAnsi="Calibri"/>
          <w:color w:val="767171" w:themeColor="background2" w:themeShade="80"/>
          <w:sz w:val="26"/>
        </w:rPr>
        <w:t>.</w:t>
      </w:r>
      <w:r>
        <w:rPr>
          <w:rFonts w:ascii="Calibri" w:hAnsi="Calibri"/>
          <w:color w:val="767171" w:themeColor="background2" w:themeShade="80"/>
          <w:sz w:val="26"/>
        </w:rPr>
        <w:t xml:space="preserve"> . .</w:t>
      </w:r>
      <w:r w:rsidRPr="007033E0">
        <w:rPr>
          <w:rFonts w:ascii="Calibri" w:hAnsi="Calibri"/>
          <w:color w:val="767171" w:themeColor="background2" w:themeShade="80"/>
          <w:sz w:val="26"/>
        </w:rPr>
        <w:t xml:space="preserve"> . . . . . . .</w:t>
      </w:r>
      <w:r>
        <w:rPr>
          <w:rFonts w:ascii="Calibri" w:hAnsi="Calibri"/>
          <w:color w:val="767171" w:themeColor="background2" w:themeShade="80"/>
          <w:sz w:val="26"/>
        </w:rPr>
        <w:t xml:space="preserve"> . . . . . . . </w:t>
      </w:r>
    </w:p>
    <w:p w:rsidR="0084308C" w:rsidRPr="007033E0" w:rsidRDefault="0084308C" w:rsidP="0084308C">
      <w:pPr>
        <w:jc w:val="both"/>
        <w:rPr>
          <w:rFonts w:ascii="Calibri" w:hAnsi="Calibri"/>
          <w:color w:val="767171" w:themeColor="background2" w:themeShade="80"/>
          <w:sz w:val="26"/>
        </w:rPr>
      </w:pPr>
    </w:p>
    <w:p w:rsidR="0084308C" w:rsidRDefault="0084308C" w:rsidP="0084308C">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Es por lo antes indicado, que al haber interpuesto </w:t>
      </w:r>
      <w:r>
        <w:rPr>
          <w:rFonts w:ascii="Calibri" w:hAnsi="Calibri"/>
          <w:color w:val="767171" w:themeColor="background2" w:themeShade="80"/>
          <w:sz w:val="26"/>
          <w:szCs w:val="26"/>
        </w:rPr>
        <w:t>e</w:t>
      </w:r>
      <w:r w:rsidRPr="007033E0">
        <w:rPr>
          <w:rFonts w:ascii="Calibri" w:hAnsi="Calibri"/>
          <w:color w:val="767171" w:themeColor="background2" w:themeShade="80"/>
          <w:sz w:val="26"/>
          <w:szCs w:val="26"/>
        </w:rPr>
        <w:t xml:space="preserve">l actor el proceso administrativo hasta el día </w:t>
      </w:r>
      <w:r>
        <w:rPr>
          <w:rFonts w:ascii="Calibri" w:hAnsi="Calibri"/>
          <w:color w:val="767171" w:themeColor="background2" w:themeShade="80"/>
          <w:sz w:val="26"/>
          <w:szCs w:val="26"/>
        </w:rPr>
        <w:t>4</w:t>
      </w:r>
      <w:r w:rsidRPr="007033E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cuatro</w:t>
      </w:r>
      <w:r w:rsidRPr="007033E0">
        <w:rPr>
          <w:rFonts w:ascii="Calibri" w:hAnsi="Calibri"/>
          <w:color w:val="767171" w:themeColor="background2" w:themeShade="80"/>
          <w:sz w:val="26"/>
          <w:szCs w:val="26"/>
        </w:rPr>
        <w:t xml:space="preserve"> de o</w:t>
      </w:r>
      <w:r>
        <w:rPr>
          <w:rFonts w:ascii="Calibri" w:hAnsi="Calibri"/>
          <w:color w:val="767171" w:themeColor="background2" w:themeShade="80"/>
          <w:sz w:val="26"/>
          <w:szCs w:val="26"/>
        </w:rPr>
        <w:t>ctubre</w:t>
      </w:r>
      <w:r w:rsidRPr="007033E0">
        <w:rPr>
          <w:rFonts w:ascii="Calibri" w:hAnsi="Calibri"/>
          <w:color w:val="767171" w:themeColor="background2" w:themeShade="80"/>
          <w:sz w:val="26"/>
          <w:szCs w:val="26"/>
        </w:rPr>
        <w:t xml:space="preserve"> del año 201</w:t>
      </w:r>
      <w:r>
        <w:rPr>
          <w:rFonts w:ascii="Calibri" w:hAnsi="Calibri"/>
          <w:color w:val="767171" w:themeColor="background2" w:themeShade="80"/>
          <w:sz w:val="26"/>
          <w:szCs w:val="26"/>
        </w:rPr>
        <w:t>7</w:t>
      </w:r>
      <w:r w:rsidRPr="007033E0">
        <w:rPr>
          <w:rFonts w:ascii="Calibri" w:hAnsi="Calibri"/>
          <w:color w:val="767171" w:themeColor="background2" w:themeShade="80"/>
          <w:sz w:val="26"/>
          <w:szCs w:val="26"/>
        </w:rPr>
        <w:t xml:space="preserve"> dos mil </w:t>
      </w:r>
      <w:r>
        <w:rPr>
          <w:rFonts w:ascii="Calibri" w:hAnsi="Calibri"/>
          <w:color w:val="767171" w:themeColor="background2" w:themeShade="80"/>
          <w:sz w:val="26"/>
          <w:szCs w:val="26"/>
        </w:rPr>
        <w:t xml:space="preserve">diecisiete </w:t>
      </w:r>
      <w:r w:rsidRPr="007033E0">
        <w:rPr>
          <w:rFonts w:ascii="Calibri" w:hAnsi="Calibri"/>
          <w:color w:val="767171" w:themeColor="background2" w:themeShade="80"/>
          <w:sz w:val="26"/>
          <w:szCs w:val="26"/>
        </w:rPr>
        <w:t xml:space="preserve">quince; según se advierte del sello de recibido de la Oficial Común de Partes de los Juzgados Administrativos Municipales; se presentó la demanda </w:t>
      </w:r>
      <w:r w:rsidRPr="007033E0">
        <w:rPr>
          <w:rFonts w:ascii="Calibri" w:hAnsi="Calibri"/>
          <w:b/>
          <w:color w:val="767171" w:themeColor="background2" w:themeShade="80"/>
          <w:sz w:val="26"/>
          <w:szCs w:val="26"/>
          <w:u w:val="single"/>
        </w:rPr>
        <w:t xml:space="preserve">fuera del término </w:t>
      </w:r>
      <w:r w:rsidRPr="007033E0">
        <w:rPr>
          <w:rFonts w:ascii="Calibri" w:hAnsi="Calibri"/>
          <w:color w:val="767171" w:themeColor="background2" w:themeShade="80"/>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Pr>
          <w:rFonts w:ascii="Calibri" w:hAnsi="Calibri"/>
          <w:color w:val="767171" w:themeColor="background2" w:themeShade="80"/>
          <w:sz w:val="26"/>
          <w:szCs w:val="26"/>
        </w:rPr>
        <w:t>3</w:t>
      </w:r>
      <w:r w:rsidRPr="007033E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tres</w:t>
      </w:r>
      <w:r w:rsidRPr="007033E0">
        <w:rPr>
          <w:rFonts w:ascii="Calibri" w:hAnsi="Calibri"/>
          <w:color w:val="767171" w:themeColor="background2" w:themeShade="80"/>
          <w:sz w:val="26"/>
          <w:szCs w:val="26"/>
        </w:rPr>
        <w:t xml:space="preserve"> del mismo mes </w:t>
      </w:r>
    </w:p>
    <w:p w:rsidR="0084308C" w:rsidRDefault="0084308C" w:rsidP="0084308C">
      <w:pPr>
        <w:ind w:firstLine="708"/>
        <w:jc w:val="right"/>
        <w:rPr>
          <w:rFonts w:ascii="Calibri" w:hAnsi="Calibri"/>
          <w:color w:val="767171" w:themeColor="background2" w:themeShade="80"/>
          <w:sz w:val="26"/>
          <w:szCs w:val="27"/>
        </w:rPr>
      </w:pPr>
      <w:r>
        <w:rPr>
          <w:rFonts w:ascii="Calibri" w:hAnsi="Calibri" w:cs="Calibri"/>
          <w:b/>
          <w:color w:val="767171" w:themeColor="background2" w:themeShade="80"/>
          <w:sz w:val="26"/>
          <w:szCs w:val="26"/>
        </w:rPr>
        <w:t xml:space="preserve">Expediente número 1101/2doJAM/2017-JN </w:t>
      </w:r>
    </w:p>
    <w:p w:rsidR="0084308C" w:rsidRDefault="0084308C" w:rsidP="0084308C">
      <w:pPr>
        <w:ind w:firstLine="708"/>
        <w:jc w:val="both"/>
        <w:rPr>
          <w:rFonts w:ascii="Calibri" w:hAnsi="Calibri"/>
          <w:color w:val="767171" w:themeColor="background2" w:themeShade="80"/>
          <w:sz w:val="26"/>
          <w:szCs w:val="26"/>
        </w:rPr>
      </w:pPr>
    </w:p>
    <w:p w:rsidR="0084308C" w:rsidRPr="007033E0" w:rsidRDefault="0084308C" w:rsidP="0084308C">
      <w:pPr>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y año, lo que se traduce en que exista </w:t>
      </w:r>
      <w:r w:rsidRPr="007033E0">
        <w:rPr>
          <w:rFonts w:ascii="Calibri" w:hAnsi="Calibri"/>
          <w:b/>
          <w:bCs/>
          <w:color w:val="767171" w:themeColor="background2" w:themeShade="80"/>
          <w:sz w:val="26"/>
          <w:szCs w:val="26"/>
        </w:rPr>
        <w:t xml:space="preserve">consentimiento tácito </w:t>
      </w:r>
      <w:r w:rsidRPr="007033E0">
        <w:rPr>
          <w:rFonts w:ascii="Calibri" w:hAnsi="Calibri"/>
          <w:bCs/>
          <w:color w:val="767171" w:themeColor="background2" w:themeShade="80"/>
          <w:sz w:val="26"/>
          <w:szCs w:val="26"/>
        </w:rPr>
        <w:t>del acto impugnado</w:t>
      </w:r>
      <w:r w:rsidRPr="007033E0">
        <w:rPr>
          <w:rFonts w:ascii="Calibri" w:hAnsi="Calibri"/>
          <w:color w:val="767171" w:themeColor="background2" w:themeShade="80"/>
          <w:sz w:val="26"/>
          <w:szCs w:val="26"/>
        </w:rPr>
        <w:t xml:space="preserve">. </w:t>
      </w:r>
    </w:p>
    <w:p w:rsidR="0084308C" w:rsidRPr="007033E0" w:rsidRDefault="0084308C" w:rsidP="0084308C">
      <w:pPr>
        <w:ind w:firstLine="708"/>
        <w:jc w:val="both"/>
        <w:rPr>
          <w:rFonts w:ascii="Calibri" w:hAnsi="Calibri"/>
          <w:color w:val="767171" w:themeColor="background2" w:themeShade="80"/>
          <w:sz w:val="26"/>
          <w:szCs w:val="26"/>
        </w:rPr>
      </w:pPr>
    </w:p>
    <w:p w:rsidR="0084308C" w:rsidRPr="007033E0" w:rsidRDefault="0084308C" w:rsidP="0084308C">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Sirve de apoyo a lo antes razonado, el Criterio siguiente, sostenido por el Pleno del Tribunal de Justicia Administrativa del Estado: . . . . . . . . . . . . . . . . . . . . . . </w:t>
      </w:r>
    </w:p>
    <w:p w:rsidR="0084308C" w:rsidRPr="007033E0" w:rsidRDefault="0084308C" w:rsidP="0084308C">
      <w:pPr>
        <w:jc w:val="both"/>
        <w:rPr>
          <w:rFonts w:ascii="Calibri" w:hAnsi="Calibri"/>
          <w:color w:val="767171" w:themeColor="background2" w:themeShade="80"/>
          <w:sz w:val="26"/>
          <w:szCs w:val="26"/>
        </w:rPr>
      </w:pPr>
    </w:p>
    <w:p w:rsidR="0084308C" w:rsidRPr="007033E0" w:rsidRDefault="0084308C" w:rsidP="0084308C">
      <w:pPr>
        <w:ind w:firstLine="708"/>
        <w:jc w:val="both"/>
        <w:rPr>
          <w:rFonts w:ascii="Calibri" w:hAnsi="Calibri"/>
          <w:color w:val="767171" w:themeColor="background2" w:themeShade="80"/>
          <w:sz w:val="26"/>
          <w:szCs w:val="26"/>
        </w:rPr>
      </w:pPr>
      <w:r w:rsidRPr="007033E0">
        <w:rPr>
          <w:rFonts w:ascii="Calibri" w:hAnsi="Calibri"/>
          <w:b/>
          <w:i/>
          <w:color w:val="767171" w:themeColor="background2" w:themeShade="80"/>
          <w:sz w:val="26"/>
          <w:szCs w:val="26"/>
        </w:rPr>
        <w:t>“DEMANDA. TÉRMINO PARA PRESENTARLA.-</w:t>
      </w:r>
      <w:r w:rsidRPr="007033E0">
        <w:rPr>
          <w:rFonts w:ascii="Calibri" w:hAnsi="Calibri"/>
          <w:i/>
          <w:color w:val="767171" w:themeColor="background2" w:themeShade="80"/>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7033E0">
        <w:rPr>
          <w:rFonts w:ascii="Calibri" w:hAnsi="Calibri"/>
          <w:i/>
          <w:color w:val="767171" w:themeColor="background2" w:themeShade="80"/>
          <w:sz w:val="22"/>
          <w:szCs w:val="26"/>
        </w:rPr>
        <w:t>(Toca 18/07. Recurso de Reclamación interpuesto por René Cuitláhuac Ángel Rodríguez, autorizado de la Dirección General de Tránsito y Transporte del Estado de Guanajuato. Resolución de fecha 16 de mayo de 2007.)</w:t>
      </w:r>
      <w:r w:rsidRPr="007033E0">
        <w:rPr>
          <w:rFonts w:ascii="Calibri" w:hAnsi="Calibri"/>
          <w:b/>
          <w:i/>
          <w:color w:val="767171" w:themeColor="background2" w:themeShade="80"/>
          <w:sz w:val="22"/>
          <w:szCs w:val="26"/>
        </w:rPr>
        <w:t>”</w:t>
      </w:r>
      <w:r w:rsidRPr="007033E0">
        <w:rPr>
          <w:rFonts w:ascii="Calibri" w:hAnsi="Calibri"/>
          <w:color w:val="767171" w:themeColor="background2" w:themeShade="80"/>
          <w:sz w:val="26"/>
          <w:szCs w:val="26"/>
        </w:rPr>
        <w:t xml:space="preserve">. . . . . . . . . . . . . . . . . . . . . . . . . . . . . </w:t>
      </w:r>
    </w:p>
    <w:p w:rsidR="0084308C" w:rsidRPr="007033E0" w:rsidRDefault="0084308C" w:rsidP="0084308C">
      <w:pPr>
        <w:ind w:firstLine="708"/>
        <w:jc w:val="both"/>
        <w:rPr>
          <w:rFonts w:ascii="Calibri" w:hAnsi="Calibri"/>
          <w:color w:val="767171" w:themeColor="background2" w:themeShade="80"/>
          <w:sz w:val="26"/>
          <w:szCs w:val="26"/>
        </w:rPr>
      </w:pPr>
    </w:p>
    <w:p w:rsidR="0084308C" w:rsidRPr="00533034" w:rsidRDefault="0084308C" w:rsidP="0084308C">
      <w:pPr>
        <w:ind w:firstLine="708"/>
        <w:jc w:val="both"/>
        <w:rPr>
          <w:rFonts w:asciiTheme="minorHAnsi" w:hAnsiTheme="minorHAnsi" w:cstheme="minorHAnsi"/>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Por lo que al quedar determinado que la demanda 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7033E0">
        <w:rPr>
          <w:rFonts w:asciiTheme="minorHAnsi" w:hAnsiTheme="minorHAnsi" w:cstheme="minorHAnsi"/>
          <w:b/>
          <w:color w:val="767171" w:themeColor="background2" w:themeShade="80"/>
          <w:sz w:val="26"/>
          <w:szCs w:val="26"/>
        </w:rPr>
        <w:t>sobreseer</w:t>
      </w:r>
      <w:r w:rsidRPr="007033E0">
        <w:rPr>
          <w:rFonts w:asciiTheme="minorHAnsi" w:hAnsiTheme="minorHAnsi" w:cstheme="minorHAnsi"/>
          <w:color w:val="767171" w:themeColor="background2" w:themeShade="80"/>
          <w:sz w:val="26"/>
          <w:szCs w:val="26"/>
        </w:rPr>
        <w:t xml:space="preserve"> el presente proceso administrativo, con sustento en lo establecido por</w:t>
      </w:r>
      <w:r>
        <w:rPr>
          <w:rFonts w:asciiTheme="minorHAnsi" w:hAnsiTheme="minorHAnsi" w:cstheme="minorHAnsi"/>
          <w:color w:val="767171" w:themeColor="background2" w:themeShade="80"/>
          <w:sz w:val="26"/>
          <w:szCs w:val="26"/>
        </w:rPr>
        <w:t xml:space="preserve"> e</w:t>
      </w:r>
      <w:r w:rsidRPr="007033E0">
        <w:rPr>
          <w:rFonts w:asciiTheme="minorHAnsi" w:hAnsiTheme="minorHAnsi" w:cstheme="minorHAnsi"/>
          <w:color w:val="767171" w:themeColor="background2" w:themeShade="80"/>
          <w:sz w:val="26"/>
          <w:szCs w:val="26"/>
        </w:rPr>
        <w:t xml:space="preserve">l artículo 262, fracción II, del Código de Procedimiento y Justicia Administrativa para el Estado y los Municipios de Guanajuato. . . . . . . . . . . . . . . . . . . . . . . . . . . . . . </w:t>
      </w:r>
    </w:p>
    <w:p w:rsidR="0084308C" w:rsidRPr="007033E0" w:rsidRDefault="0084308C" w:rsidP="0084308C">
      <w:pPr>
        <w:pStyle w:val="Sangra3detindependiente"/>
        <w:rPr>
          <w:rFonts w:asciiTheme="minorHAnsi" w:hAnsiTheme="minorHAnsi" w:cstheme="minorHAnsi"/>
          <w:b/>
          <w:bCs/>
          <w:i/>
          <w:iCs/>
          <w:color w:val="767171" w:themeColor="background2" w:themeShade="80"/>
        </w:rPr>
      </w:pPr>
    </w:p>
    <w:p w:rsidR="0084308C" w:rsidRPr="007033E0" w:rsidRDefault="0084308C" w:rsidP="0084308C">
      <w:pPr>
        <w:pStyle w:val="Sangra3detindependiente"/>
        <w:rPr>
          <w:rFonts w:asciiTheme="minorHAnsi" w:hAnsiTheme="minorHAnsi" w:cstheme="minorHAnsi"/>
          <w:color w:val="767171" w:themeColor="background2" w:themeShade="80"/>
        </w:rPr>
      </w:pPr>
      <w:r>
        <w:rPr>
          <w:rFonts w:asciiTheme="minorHAnsi" w:hAnsiTheme="minorHAnsi" w:cstheme="minorHAnsi"/>
          <w:b/>
          <w:bCs/>
          <w:i/>
          <w:iCs/>
          <w:color w:val="767171" w:themeColor="background2" w:themeShade="80"/>
        </w:rPr>
        <w:t>QUINT</w:t>
      </w:r>
      <w:r w:rsidRPr="007033E0">
        <w:rPr>
          <w:rFonts w:asciiTheme="minorHAnsi" w:hAnsiTheme="minorHAnsi" w:cstheme="minorHAnsi"/>
          <w:b/>
          <w:bCs/>
          <w:i/>
          <w:iCs/>
          <w:color w:val="767171" w:themeColor="background2" w:themeShade="80"/>
        </w:rPr>
        <w:t xml:space="preserve">O.- </w:t>
      </w:r>
      <w:r w:rsidRPr="007033E0">
        <w:rPr>
          <w:rFonts w:asciiTheme="minorHAnsi" w:hAnsiTheme="minorHAnsi" w:cstheme="minorHAnsi"/>
          <w:color w:val="767171" w:themeColor="background2" w:themeShade="80"/>
        </w:rPr>
        <w:t>En virtud de que se actualiza una causal de improcedencia, que trae como consecuencia el que se sobresea el presente proceso administrativo; no se analizará ninguna otra causal de improcedencia o sobreseimiento que pudieran actualizarse; pues ello no variaría el sentido de la presente resolución; ni se hará el estudio de los conceptos de impugnación expresados por la actora, ni de sus pretensiones, pues la actualización de una causal de improcedencia impide conocer respecto del fondo del asunto. . . . . . . . . . . . . . . . . . . . . . . . . . . . . . . . . . . . .</w:t>
      </w:r>
    </w:p>
    <w:p w:rsidR="0084308C" w:rsidRPr="007033E0" w:rsidRDefault="0084308C" w:rsidP="0084308C">
      <w:pPr>
        <w:pStyle w:val="Textoindependienteprimerasangra"/>
        <w:ind w:firstLine="0"/>
        <w:jc w:val="both"/>
        <w:rPr>
          <w:rFonts w:asciiTheme="minorHAnsi" w:hAnsiTheme="minorHAnsi" w:cstheme="minorHAnsi"/>
          <w:color w:val="767171" w:themeColor="background2" w:themeShade="80"/>
          <w:sz w:val="26"/>
          <w:szCs w:val="26"/>
        </w:rPr>
      </w:pPr>
    </w:p>
    <w:p w:rsidR="0084308C" w:rsidRPr="007033E0" w:rsidRDefault="0084308C" w:rsidP="0084308C">
      <w:pPr>
        <w:pStyle w:val="Textoindependienteprimerasangra"/>
        <w:ind w:firstLine="708"/>
        <w:jc w:val="both"/>
        <w:rPr>
          <w:rFonts w:asciiTheme="minorHAnsi" w:hAnsiTheme="minorHAnsi" w:cstheme="minorHAnsi"/>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Por lo expuesto, y con fundamento además en lo dispuesto en los artículos 249, 261 fracción IV, 262 fracción II, 298 y 299, del Código de Procedimiento y Justicia Administrativa para el Estado y los Municipios de Guanajuato, es de resolverse y se. . . . . . . . . . . . . . . . . . . . . . . . . . . . . . . . . . . . . . . . . . . . . . . . . . . . . . . . . </w:t>
      </w:r>
    </w:p>
    <w:p w:rsidR="0084308C" w:rsidRPr="007033E0" w:rsidRDefault="0084308C" w:rsidP="0084308C">
      <w:pPr>
        <w:pStyle w:val="Textoindependienteprimerasangra"/>
        <w:ind w:firstLine="708"/>
        <w:jc w:val="both"/>
        <w:rPr>
          <w:rFonts w:asciiTheme="minorHAnsi" w:hAnsiTheme="minorHAnsi" w:cstheme="minorHAnsi"/>
          <w:color w:val="767171" w:themeColor="background2" w:themeShade="80"/>
          <w:sz w:val="26"/>
          <w:szCs w:val="26"/>
        </w:rPr>
      </w:pPr>
    </w:p>
    <w:p w:rsidR="0084308C" w:rsidRPr="007033E0" w:rsidRDefault="0084308C" w:rsidP="0084308C">
      <w:pPr>
        <w:pStyle w:val="Ttulo1"/>
        <w:jc w:val="center"/>
        <w:rPr>
          <w:rFonts w:asciiTheme="minorHAnsi" w:hAnsiTheme="minorHAnsi" w:cstheme="minorHAnsi"/>
          <w:i/>
          <w:color w:val="767171" w:themeColor="background2" w:themeShade="80"/>
          <w:sz w:val="26"/>
          <w:szCs w:val="26"/>
        </w:rPr>
      </w:pPr>
      <w:r w:rsidRPr="007033E0">
        <w:rPr>
          <w:rFonts w:asciiTheme="minorHAnsi" w:hAnsiTheme="minorHAnsi" w:cstheme="minorHAnsi"/>
          <w:color w:val="767171" w:themeColor="background2" w:themeShade="80"/>
          <w:sz w:val="26"/>
          <w:szCs w:val="26"/>
        </w:rPr>
        <w:t>R E S U E L V E :</w:t>
      </w:r>
    </w:p>
    <w:p w:rsidR="0084308C" w:rsidRPr="007033E0" w:rsidRDefault="0084308C" w:rsidP="0084308C">
      <w:pPr>
        <w:pStyle w:val="Textoindependienteprimerasangra"/>
        <w:ind w:firstLine="0"/>
        <w:jc w:val="both"/>
        <w:rPr>
          <w:rFonts w:asciiTheme="minorHAnsi" w:hAnsiTheme="minorHAnsi" w:cstheme="minorHAnsi"/>
          <w:b/>
          <w:bCs/>
          <w:i/>
          <w:iCs/>
          <w:color w:val="767171" w:themeColor="background2" w:themeShade="80"/>
          <w:sz w:val="26"/>
          <w:szCs w:val="26"/>
        </w:rPr>
      </w:pPr>
    </w:p>
    <w:p w:rsidR="0084308C" w:rsidRPr="007033E0" w:rsidRDefault="0084308C" w:rsidP="0084308C">
      <w:pPr>
        <w:pStyle w:val="Textoindependienteprimerasangra"/>
        <w:jc w:val="both"/>
        <w:rPr>
          <w:rFonts w:asciiTheme="minorHAnsi" w:hAnsiTheme="minorHAnsi" w:cstheme="minorHAnsi"/>
          <w:color w:val="767171" w:themeColor="background2" w:themeShade="80"/>
          <w:sz w:val="26"/>
          <w:szCs w:val="26"/>
        </w:rPr>
      </w:pPr>
      <w:r w:rsidRPr="007033E0">
        <w:rPr>
          <w:rFonts w:asciiTheme="minorHAnsi" w:hAnsiTheme="minorHAnsi" w:cstheme="minorHAnsi"/>
          <w:b/>
          <w:bCs/>
          <w:i/>
          <w:iCs/>
          <w:color w:val="767171" w:themeColor="background2" w:themeShade="80"/>
          <w:sz w:val="26"/>
          <w:szCs w:val="26"/>
        </w:rPr>
        <w:t>PRIMERO</w:t>
      </w:r>
      <w:r w:rsidRPr="007033E0">
        <w:rPr>
          <w:rFonts w:asciiTheme="minorHAnsi" w:hAnsiTheme="minorHAnsi" w:cstheme="minorHAnsi"/>
          <w:color w:val="767171" w:themeColor="background2" w:themeShade="80"/>
          <w:sz w:val="26"/>
          <w:szCs w:val="26"/>
        </w:rPr>
        <w:t xml:space="preserve">.- Este Juzgado Segundo Administrativo Municipal resultó competente para conocer y resolver del presente proceso. . . . . . . . . . . . . . . . . . . . </w:t>
      </w:r>
    </w:p>
    <w:p w:rsidR="0084308C" w:rsidRPr="007033E0" w:rsidRDefault="0084308C" w:rsidP="0084308C">
      <w:pPr>
        <w:pStyle w:val="Textoindependienteprimerasangra"/>
        <w:jc w:val="both"/>
        <w:rPr>
          <w:rFonts w:asciiTheme="minorHAnsi" w:hAnsiTheme="minorHAnsi" w:cstheme="minorHAnsi"/>
          <w:color w:val="767171" w:themeColor="background2" w:themeShade="80"/>
          <w:sz w:val="26"/>
          <w:szCs w:val="26"/>
        </w:rPr>
      </w:pPr>
    </w:p>
    <w:p w:rsidR="0084308C" w:rsidRPr="007033E0" w:rsidRDefault="0084308C" w:rsidP="0084308C">
      <w:pPr>
        <w:pStyle w:val="Textoindependienteprimerasangra"/>
        <w:jc w:val="both"/>
        <w:rPr>
          <w:rFonts w:asciiTheme="minorHAnsi" w:hAnsiTheme="minorHAnsi" w:cstheme="minorHAnsi"/>
          <w:color w:val="767171" w:themeColor="background2" w:themeShade="80"/>
          <w:sz w:val="26"/>
          <w:szCs w:val="26"/>
        </w:rPr>
      </w:pPr>
      <w:r w:rsidRPr="007033E0">
        <w:rPr>
          <w:rFonts w:asciiTheme="minorHAnsi" w:hAnsiTheme="minorHAnsi" w:cstheme="minorHAnsi"/>
          <w:b/>
          <w:bCs/>
          <w:i/>
          <w:iCs/>
          <w:color w:val="767171" w:themeColor="background2" w:themeShade="80"/>
          <w:sz w:val="26"/>
          <w:szCs w:val="26"/>
        </w:rPr>
        <w:t xml:space="preserve">SEGUNDO.- </w:t>
      </w:r>
      <w:r w:rsidRPr="007033E0">
        <w:rPr>
          <w:rFonts w:asciiTheme="minorHAnsi" w:hAnsiTheme="minorHAnsi" w:cstheme="minorHAnsi"/>
          <w:bCs/>
          <w:color w:val="767171" w:themeColor="background2" w:themeShade="80"/>
          <w:sz w:val="26"/>
          <w:szCs w:val="26"/>
        </w:rPr>
        <w:t xml:space="preserve">Se </w:t>
      </w:r>
      <w:r w:rsidRPr="007033E0">
        <w:rPr>
          <w:rFonts w:asciiTheme="minorHAnsi" w:hAnsiTheme="minorHAnsi" w:cstheme="minorHAnsi"/>
          <w:b/>
          <w:bCs/>
          <w:color w:val="767171" w:themeColor="background2" w:themeShade="80"/>
          <w:sz w:val="26"/>
          <w:szCs w:val="26"/>
        </w:rPr>
        <w:t xml:space="preserve">SOBRESEE </w:t>
      </w:r>
      <w:r w:rsidRPr="007033E0">
        <w:rPr>
          <w:rFonts w:asciiTheme="minorHAnsi" w:hAnsiTheme="minorHAnsi" w:cstheme="minorHAnsi"/>
          <w:color w:val="767171" w:themeColor="background2" w:themeShade="80"/>
          <w:sz w:val="26"/>
          <w:szCs w:val="26"/>
        </w:rPr>
        <w:t xml:space="preserve">el presente proceso administrativo, por las consideraciones lógicas y jurídicas expuestas en el Considerando </w:t>
      </w:r>
      <w:r>
        <w:rPr>
          <w:rFonts w:asciiTheme="minorHAnsi" w:hAnsiTheme="minorHAnsi" w:cstheme="minorHAnsi"/>
          <w:color w:val="767171" w:themeColor="background2" w:themeShade="80"/>
          <w:sz w:val="26"/>
          <w:szCs w:val="26"/>
        </w:rPr>
        <w:t>Cuart</w:t>
      </w:r>
      <w:r w:rsidRPr="007033E0">
        <w:rPr>
          <w:rFonts w:asciiTheme="minorHAnsi" w:hAnsiTheme="minorHAnsi" w:cstheme="minorHAnsi"/>
          <w:color w:val="767171" w:themeColor="background2" w:themeShade="80"/>
          <w:sz w:val="26"/>
          <w:szCs w:val="26"/>
        </w:rPr>
        <w:t>o de la presente resolución. . . . . . . . . . . . . . . . . . . . . . . . . . . . . . . . . . . . . . . . . . . . . . . . . . . .</w:t>
      </w:r>
      <w:r>
        <w:rPr>
          <w:rFonts w:asciiTheme="minorHAnsi" w:hAnsiTheme="minorHAnsi" w:cstheme="minorHAnsi"/>
          <w:color w:val="767171" w:themeColor="background2" w:themeShade="80"/>
          <w:sz w:val="26"/>
          <w:szCs w:val="26"/>
        </w:rPr>
        <w:t xml:space="preserve"> .</w:t>
      </w:r>
      <w:r w:rsidRPr="007033E0">
        <w:rPr>
          <w:rFonts w:asciiTheme="minorHAnsi" w:hAnsiTheme="minorHAnsi" w:cstheme="minorHAnsi"/>
          <w:color w:val="767171" w:themeColor="background2" w:themeShade="80"/>
          <w:sz w:val="26"/>
          <w:szCs w:val="26"/>
        </w:rPr>
        <w:t xml:space="preserve"> </w:t>
      </w:r>
    </w:p>
    <w:p w:rsidR="0084308C" w:rsidRPr="007033E0" w:rsidRDefault="0084308C" w:rsidP="0084308C">
      <w:pPr>
        <w:pStyle w:val="Textoindependienteprimerasangra"/>
        <w:ind w:firstLine="0"/>
        <w:jc w:val="both"/>
        <w:rPr>
          <w:rFonts w:asciiTheme="minorHAnsi" w:hAnsiTheme="minorHAnsi" w:cstheme="minorHAnsi"/>
          <w:color w:val="767171" w:themeColor="background2" w:themeShade="80"/>
          <w:sz w:val="26"/>
          <w:szCs w:val="26"/>
        </w:rPr>
      </w:pPr>
    </w:p>
    <w:p w:rsidR="0084308C" w:rsidRPr="007033E0" w:rsidRDefault="0084308C" w:rsidP="0084308C">
      <w:pPr>
        <w:pStyle w:val="Textoindependienteprimerasangra"/>
        <w:jc w:val="both"/>
        <w:rPr>
          <w:rFonts w:asciiTheme="minorHAnsi" w:hAnsiTheme="minorHAnsi" w:cstheme="minorHAnsi"/>
          <w:color w:val="767171" w:themeColor="background2" w:themeShade="80"/>
          <w:sz w:val="26"/>
          <w:szCs w:val="26"/>
        </w:rPr>
      </w:pPr>
      <w:r w:rsidRPr="007033E0">
        <w:rPr>
          <w:rFonts w:asciiTheme="minorHAnsi" w:hAnsiTheme="minorHAnsi" w:cstheme="minorHAnsi"/>
          <w:color w:val="767171" w:themeColor="background2" w:themeShade="80"/>
          <w:sz w:val="26"/>
          <w:szCs w:val="26"/>
        </w:rPr>
        <w:t>Notifíquese a las autoridades demandadas por oficio; y, a la parte actora personalmente. . . . . . . . . . . . . . . . . . . . . . . . . . . . . . . . . . . . . . . . . . . . . . . . . . . . . . . . .</w:t>
      </w:r>
    </w:p>
    <w:p w:rsidR="0084308C" w:rsidRPr="007033E0" w:rsidRDefault="0084308C" w:rsidP="0084308C">
      <w:pPr>
        <w:pStyle w:val="Textoindependienteprimerasangra"/>
        <w:ind w:firstLine="0"/>
        <w:jc w:val="both"/>
        <w:rPr>
          <w:rFonts w:asciiTheme="minorHAnsi" w:hAnsiTheme="minorHAnsi" w:cstheme="minorHAnsi"/>
          <w:color w:val="767171" w:themeColor="background2" w:themeShade="80"/>
          <w:sz w:val="26"/>
          <w:szCs w:val="26"/>
        </w:rPr>
      </w:pPr>
    </w:p>
    <w:p w:rsidR="0084308C" w:rsidRPr="007033E0" w:rsidRDefault="0084308C" w:rsidP="0084308C">
      <w:pPr>
        <w:pStyle w:val="Textoindependienteprimerasangra"/>
        <w:jc w:val="both"/>
        <w:rPr>
          <w:rFonts w:asciiTheme="minorHAnsi" w:hAnsiTheme="minorHAnsi" w:cstheme="minorHAnsi"/>
          <w:b/>
          <w:bCs/>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 </w:t>
      </w:r>
    </w:p>
    <w:p w:rsidR="0084308C" w:rsidRPr="007033E0" w:rsidRDefault="0084308C" w:rsidP="0084308C">
      <w:pPr>
        <w:pStyle w:val="Textoindependienteprimerasangra"/>
        <w:jc w:val="both"/>
        <w:rPr>
          <w:rFonts w:asciiTheme="minorHAnsi" w:hAnsiTheme="minorHAnsi" w:cstheme="minorHAnsi"/>
          <w:color w:val="767171" w:themeColor="background2" w:themeShade="80"/>
          <w:sz w:val="26"/>
          <w:szCs w:val="26"/>
        </w:rPr>
      </w:pPr>
    </w:p>
    <w:p w:rsidR="0084308C" w:rsidRPr="007033E0" w:rsidRDefault="0084308C" w:rsidP="0084308C">
      <w:pPr>
        <w:pStyle w:val="Textoindependienteprimerasangra"/>
        <w:jc w:val="both"/>
        <w:rPr>
          <w:color w:val="767171" w:themeColor="background2" w:themeShade="80"/>
        </w:rPr>
      </w:pPr>
      <w:r w:rsidRPr="007033E0">
        <w:rPr>
          <w:rFonts w:asciiTheme="minorHAnsi" w:hAnsiTheme="minorHAnsi" w:cstheme="minorHAnsi"/>
          <w:color w:val="767171" w:themeColor="background2" w:themeShade="80"/>
          <w:sz w:val="26"/>
          <w:szCs w:val="26"/>
        </w:rPr>
        <w:t xml:space="preserve">Así lo resolvió y firma el Licenciado </w:t>
      </w:r>
      <w:r w:rsidRPr="007033E0">
        <w:rPr>
          <w:rFonts w:asciiTheme="minorHAnsi" w:hAnsiTheme="minorHAnsi" w:cstheme="minorHAnsi"/>
          <w:b/>
          <w:bCs/>
          <w:color w:val="767171" w:themeColor="background2" w:themeShade="80"/>
          <w:sz w:val="26"/>
          <w:szCs w:val="26"/>
        </w:rPr>
        <w:t>Ernesto Alejandro Mora Álvarez</w:t>
      </w:r>
      <w:r w:rsidRPr="007033E0">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7033E0">
        <w:rPr>
          <w:rFonts w:asciiTheme="minorHAnsi" w:hAnsiTheme="minorHAnsi" w:cstheme="minorHAnsi"/>
          <w:b/>
          <w:bCs/>
          <w:color w:val="767171" w:themeColor="background2" w:themeShade="80"/>
          <w:sz w:val="26"/>
          <w:szCs w:val="26"/>
        </w:rPr>
        <w:t>María del Rocío Villanueva Sánchez</w:t>
      </w:r>
      <w:r w:rsidRPr="007033E0">
        <w:rPr>
          <w:rFonts w:asciiTheme="minorHAnsi" w:hAnsiTheme="minorHAnsi" w:cstheme="minorHAnsi"/>
          <w:color w:val="767171" w:themeColor="background2" w:themeShade="80"/>
          <w:sz w:val="26"/>
          <w:szCs w:val="26"/>
        </w:rPr>
        <w:t xml:space="preserve">, quien da fe. . . . . . . . . . . . . . . . . . . . . . . . . . . . . . . . . . . . . . . . . .  </w:t>
      </w:r>
    </w:p>
    <w:p w:rsidR="00CC18FD" w:rsidRDefault="0084308C"/>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8C"/>
    <w:rsid w:val="005278F1"/>
    <w:rsid w:val="0084308C"/>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45A52-C017-4260-BC2E-BDF80C5D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08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430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308C"/>
    <w:rPr>
      <w:rFonts w:asciiTheme="majorHAnsi" w:eastAsiaTheme="majorEastAsia" w:hAnsiTheme="majorHAnsi" w:cstheme="majorBidi"/>
      <w:color w:val="2E74B5" w:themeColor="accent1" w:themeShade="BF"/>
      <w:sz w:val="32"/>
      <w:szCs w:val="32"/>
      <w:lang w:eastAsia="es-ES"/>
    </w:rPr>
  </w:style>
  <w:style w:type="paragraph" w:styleId="Sangra3detindependiente">
    <w:name w:val="Body Text Indent 3"/>
    <w:basedOn w:val="Normal"/>
    <w:link w:val="Sangra3detindependienteCar"/>
    <w:semiHidden/>
    <w:rsid w:val="0084308C"/>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84308C"/>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84308C"/>
    <w:pPr>
      <w:spacing w:after="120"/>
    </w:pPr>
  </w:style>
  <w:style w:type="character" w:customStyle="1" w:styleId="TextoindependienteCar">
    <w:name w:val="Texto independiente Car"/>
    <w:basedOn w:val="Fuentedeprrafopredeter"/>
    <w:link w:val="Textoindependiente"/>
    <w:uiPriority w:val="99"/>
    <w:rsid w:val="0084308C"/>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84308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4308C"/>
    <w:rPr>
      <w:rFonts w:ascii="Times New Roman" w:eastAsia="Times New Roman" w:hAnsi="Times New Roman" w:cs="Times New Roman"/>
      <w:sz w:val="24"/>
      <w:szCs w:val="24"/>
      <w:lang w:eastAsia="es-ES"/>
    </w:rPr>
  </w:style>
  <w:style w:type="paragraph" w:customStyle="1" w:styleId="Normal0">
    <w:name w:val="[Normal]"/>
    <w:rsid w:val="0084308C"/>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2590</Words>
  <Characters>14249</Characters>
  <Application>Microsoft Office Word</Application>
  <DocSecurity>0</DocSecurity>
  <Lines>118</Lines>
  <Paragraphs>33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a 18 dieciocho de septiembre del año 2018 dos mil dieciocho. .</vt:lpstr>
      <vt:lpstr>R E S U E L V E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2018-10-31T17:35:00Z</dcterms:created>
  <dcterms:modified xsi:type="dcterms:W3CDTF">2018-10-31T17:35:00Z</dcterms:modified>
</cp:coreProperties>
</file>